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9F4F" w14:textId="7EA32D0F" w:rsidR="000A5417" w:rsidRPr="00A54E3C" w:rsidRDefault="000B1037">
      <w:pPr>
        <w:pStyle w:val="BodyText"/>
        <w:spacing w:before="5"/>
        <w:rPr>
          <w:sz w:val="33"/>
        </w:rPr>
      </w:pPr>
      <w:r w:rsidRPr="00A54E3C">
        <w:t>April 8, 2024</w:t>
      </w:r>
    </w:p>
    <w:p w14:paraId="736AA0CB" w14:textId="77777777" w:rsidR="00F57EE0" w:rsidRPr="00A54E3C" w:rsidRDefault="00F57EE0" w:rsidP="00F839EF">
      <w:pPr>
        <w:pStyle w:val="BodyText"/>
        <w:ind w:right="280"/>
      </w:pPr>
    </w:p>
    <w:p w14:paraId="5CA778C4" w14:textId="77777777" w:rsidR="00F63E9E" w:rsidRPr="00A54E3C" w:rsidRDefault="00F63E9E" w:rsidP="00F839EF">
      <w:pPr>
        <w:pStyle w:val="BodyText"/>
        <w:ind w:right="280"/>
      </w:pPr>
    </w:p>
    <w:p w14:paraId="1FD0DC22" w14:textId="3C89BD04" w:rsidR="00F839EF" w:rsidRPr="00A54E3C" w:rsidRDefault="000B1037" w:rsidP="00F839EF">
      <w:pPr>
        <w:pStyle w:val="BodyText"/>
        <w:ind w:right="280"/>
      </w:pPr>
      <w:r w:rsidRPr="00A54E3C">
        <w:t xml:space="preserve">Sydney Gruters, Executive </w:t>
      </w:r>
      <w:r w:rsidR="003C7756" w:rsidRPr="00A54E3C">
        <w:t xml:space="preserve">Director </w:t>
      </w:r>
      <w:r w:rsidRPr="00A54E3C">
        <w:t>and Vice President of Advancement</w:t>
      </w:r>
      <w:r w:rsidR="00F839EF" w:rsidRPr="00A54E3C">
        <w:tab/>
      </w:r>
      <w:r w:rsidR="00F839EF" w:rsidRPr="00A54E3C">
        <w:tab/>
      </w:r>
      <w:r w:rsidR="00F839EF" w:rsidRPr="00A54E3C">
        <w:tab/>
      </w:r>
      <w:r w:rsidR="00F839EF" w:rsidRPr="00A54E3C">
        <w:tab/>
      </w:r>
      <w:r w:rsidR="00397DB8" w:rsidRPr="00A54E3C">
        <w:t xml:space="preserve">      </w:t>
      </w:r>
    </w:p>
    <w:p w14:paraId="2A99D188" w14:textId="4799D671" w:rsidR="000A5417" w:rsidRPr="00A54E3C" w:rsidRDefault="005F77F6" w:rsidP="008D5F9D">
      <w:pPr>
        <w:pStyle w:val="BodyText"/>
        <w:ind w:right="7585"/>
      </w:pPr>
      <w:r w:rsidRPr="00A54E3C">
        <w:t>New</w:t>
      </w:r>
      <w:r w:rsidRPr="00A54E3C">
        <w:rPr>
          <w:spacing w:val="-6"/>
        </w:rPr>
        <w:t xml:space="preserve"> </w:t>
      </w:r>
      <w:r w:rsidRPr="00A54E3C">
        <w:t>College</w:t>
      </w:r>
      <w:r w:rsidRPr="00A54E3C">
        <w:rPr>
          <w:spacing w:val="-6"/>
        </w:rPr>
        <w:t xml:space="preserve"> </w:t>
      </w:r>
      <w:r w:rsidR="000B1037" w:rsidRPr="00A54E3C">
        <w:t>Foundation</w:t>
      </w:r>
    </w:p>
    <w:p w14:paraId="6A080554" w14:textId="77777777" w:rsidR="000A5417" w:rsidRPr="00A54E3C" w:rsidRDefault="000A5417">
      <w:pPr>
        <w:pStyle w:val="BodyText"/>
      </w:pPr>
    </w:p>
    <w:p w14:paraId="50C146D3" w14:textId="60E6B3F5" w:rsidR="008D5F9D" w:rsidRPr="00A54E3C" w:rsidRDefault="008D5F9D">
      <w:pPr>
        <w:pStyle w:val="BodyText"/>
      </w:pPr>
      <w:r w:rsidRPr="00A54E3C">
        <w:t xml:space="preserve">Re: </w:t>
      </w:r>
      <w:r w:rsidR="000B1037" w:rsidRPr="00A54E3C">
        <w:t>Rothchild &amp; Co Intern</w:t>
      </w:r>
      <w:r w:rsidR="0082123E" w:rsidRPr="00A54E3C">
        <w:t>al</w:t>
      </w:r>
      <w:r w:rsidR="000B1037" w:rsidRPr="00A54E3C">
        <w:t xml:space="preserve"> Control Environment Report</w:t>
      </w:r>
      <w:r w:rsidR="00DF6FD8" w:rsidRPr="00A54E3C">
        <w:tab/>
      </w:r>
    </w:p>
    <w:p w14:paraId="21C6E84B" w14:textId="77777777" w:rsidR="008D5F9D" w:rsidRPr="00A54E3C" w:rsidRDefault="008D5F9D">
      <w:pPr>
        <w:pStyle w:val="BodyText"/>
      </w:pPr>
    </w:p>
    <w:p w14:paraId="7A14F6F0" w14:textId="77777777" w:rsidR="00192EE1" w:rsidRPr="00A54E3C" w:rsidRDefault="00192EE1">
      <w:pPr>
        <w:pStyle w:val="BodyText"/>
      </w:pPr>
    </w:p>
    <w:p w14:paraId="66CA3E57" w14:textId="77777777" w:rsidR="008D5F9D" w:rsidRPr="00A54E3C" w:rsidRDefault="00D32B2D" w:rsidP="008D5F9D">
      <w:pPr>
        <w:pStyle w:val="BodyText"/>
        <w:ind w:right="495"/>
        <w:jc w:val="both"/>
        <w:rPr>
          <w:b/>
        </w:rPr>
      </w:pPr>
      <w:r w:rsidRPr="00A54E3C">
        <w:rPr>
          <w:b/>
        </w:rPr>
        <w:t>Background:</w:t>
      </w:r>
    </w:p>
    <w:p w14:paraId="77C6792D" w14:textId="77777777" w:rsidR="00D32B2D" w:rsidRPr="00A54E3C" w:rsidRDefault="00D32B2D" w:rsidP="008D5F9D">
      <w:pPr>
        <w:pStyle w:val="BodyText"/>
        <w:ind w:right="495"/>
        <w:jc w:val="both"/>
      </w:pPr>
    </w:p>
    <w:p w14:paraId="4F88CF4D" w14:textId="7AD670C4" w:rsidR="00D246F7" w:rsidRPr="00A54E3C" w:rsidRDefault="008E6888" w:rsidP="00F839EF">
      <w:pPr>
        <w:pStyle w:val="BodyText"/>
        <w:ind w:right="280" w:firstLine="360"/>
        <w:jc w:val="both"/>
      </w:pPr>
      <w:r w:rsidRPr="00A54E3C">
        <w:t xml:space="preserve">During </w:t>
      </w:r>
      <w:r w:rsidR="00445F67" w:rsidRPr="00A54E3C">
        <w:t>Internal Audit’s</w:t>
      </w:r>
      <w:r w:rsidRPr="00A54E3C">
        <w:t xml:space="preserve"> January 18, </w:t>
      </w:r>
      <w:r w:rsidR="001F2251" w:rsidRPr="00A54E3C">
        <w:t xml:space="preserve">2024 </w:t>
      </w:r>
      <w:r w:rsidRPr="00A54E3C">
        <w:t xml:space="preserve">follow-up on the Foundation Investment and Budget Process Control </w:t>
      </w:r>
      <w:r w:rsidR="00E16DF5">
        <w:t>A</w:t>
      </w:r>
      <w:r w:rsidRPr="00A54E3C">
        <w:t xml:space="preserve">udit </w:t>
      </w:r>
      <w:r w:rsidR="003F470A" w:rsidRPr="00A54E3C">
        <w:t xml:space="preserve">report </w:t>
      </w:r>
      <w:r w:rsidRPr="00A54E3C">
        <w:t>dated December 23, 2023, it was noted that the N</w:t>
      </w:r>
      <w:r w:rsidR="003F470A" w:rsidRPr="00A54E3C">
        <w:t xml:space="preserve">ew </w:t>
      </w:r>
      <w:r w:rsidRPr="00A54E3C">
        <w:t>C</w:t>
      </w:r>
      <w:r w:rsidR="003F470A" w:rsidRPr="00A54E3C">
        <w:t>ollege (NC)</w:t>
      </w:r>
      <w:r w:rsidRPr="00A54E3C">
        <w:t xml:space="preserve"> Foundation’s Audit and Compliance Committee had not </w:t>
      </w:r>
      <w:r w:rsidR="0082123E" w:rsidRPr="00A54E3C">
        <w:t xml:space="preserve">yet </w:t>
      </w:r>
      <w:r w:rsidRPr="00A54E3C">
        <w:t xml:space="preserve">assessed </w:t>
      </w:r>
      <w:r w:rsidR="00445F67" w:rsidRPr="00A54E3C">
        <w:t xml:space="preserve">the </w:t>
      </w:r>
      <w:r w:rsidRPr="00A54E3C">
        <w:t xml:space="preserve">Rothschild &amp; Co Internal Control Environment </w:t>
      </w:r>
      <w:r w:rsidR="00D246F7" w:rsidRPr="00A54E3C">
        <w:t xml:space="preserve">(ICE) </w:t>
      </w:r>
      <w:r w:rsidRPr="00A54E3C">
        <w:t xml:space="preserve">report </w:t>
      </w:r>
      <w:r w:rsidR="00445F67" w:rsidRPr="00A54E3C">
        <w:t>dated April, 2023.  The Audit and Compliance Committee</w:t>
      </w:r>
      <w:r w:rsidR="003F470A" w:rsidRPr="00A54E3C">
        <w:t>’</w:t>
      </w:r>
      <w:r w:rsidR="00445F67" w:rsidRPr="00A54E3C">
        <w:t xml:space="preserve">s assessment was intended </w:t>
      </w:r>
      <w:r w:rsidRPr="00A54E3C">
        <w:t xml:space="preserve">to confirm the </w:t>
      </w:r>
      <w:r w:rsidR="00445F67" w:rsidRPr="00A54E3C">
        <w:t xml:space="preserve">ICE </w:t>
      </w:r>
      <w:r w:rsidRPr="00A54E3C">
        <w:t>report provided adequate assur</w:t>
      </w:r>
      <w:r w:rsidR="0082123E" w:rsidRPr="00A54E3C">
        <w:t>ance</w:t>
      </w:r>
      <w:r w:rsidRPr="00A54E3C">
        <w:t xml:space="preserve"> the Rothschild &amp; Co control environment </w:t>
      </w:r>
      <w:r w:rsidR="0082123E" w:rsidRPr="00A54E3C">
        <w:t xml:space="preserve">was </w:t>
      </w:r>
      <w:r w:rsidRPr="00A54E3C">
        <w:t>appropriate</w:t>
      </w:r>
      <w:r w:rsidR="0082123E" w:rsidRPr="00A54E3C">
        <w:t>ly</w:t>
      </w:r>
      <w:r w:rsidRPr="00A54E3C">
        <w:t xml:space="preserve"> designed and operating effectively. The </w:t>
      </w:r>
      <w:r w:rsidR="00D246F7" w:rsidRPr="00A54E3C">
        <w:t>ICE</w:t>
      </w:r>
      <w:r w:rsidRPr="00A54E3C">
        <w:t xml:space="preserve"> report was being provided by Rothchild &amp; Co in lieu of the </w:t>
      </w:r>
      <w:r w:rsidR="00D246F7" w:rsidRPr="00A54E3C">
        <w:t>U.S. industry standard System and Organization Controls (SOC) evaluation report th</w:t>
      </w:r>
      <w:r w:rsidR="00192EE1" w:rsidRPr="00A54E3C">
        <w:t>at</w:t>
      </w:r>
      <w:r w:rsidR="00D246F7" w:rsidRPr="00A54E3C">
        <w:t xml:space="preserve"> U.S. investment and banking firms </w:t>
      </w:r>
      <w:r w:rsidR="0082123E" w:rsidRPr="00A54E3C">
        <w:t>are</w:t>
      </w:r>
      <w:r w:rsidR="00D246F7" w:rsidRPr="00A54E3C">
        <w:t xml:space="preserve"> required to provide their clients. Since Rothschild &amp; Co </w:t>
      </w:r>
      <w:r w:rsidR="003F470A" w:rsidRPr="00A54E3C">
        <w:t>i</w:t>
      </w:r>
      <w:r w:rsidR="00D246F7" w:rsidRPr="00A54E3C">
        <w:t>s a France bas</w:t>
      </w:r>
      <w:r w:rsidR="0082123E" w:rsidRPr="00A54E3C">
        <w:t>ed</w:t>
      </w:r>
      <w:r w:rsidR="00D246F7" w:rsidRPr="00A54E3C">
        <w:t xml:space="preserve"> investment company, the</w:t>
      </w:r>
      <w:r w:rsidR="0082123E" w:rsidRPr="00A54E3C">
        <w:t xml:space="preserve"> firm</w:t>
      </w:r>
      <w:r w:rsidR="00D246F7" w:rsidRPr="00A54E3C">
        <w:t xml:space="preserve"> </w:t>
      </w:r>
      <w:r w:rsidR="003F470A" w:rsidRPr="00A54E3C">
        <w:t xml:space="preserve">is </w:t>
      </w:r>
      <w:r w:rsidR="00D246F7" w:rsidRPr="00A54E3C">
        <w:t xml:space="preserve">not required to provide the standard </w:t>
      </w:r>
      <w:r w:rsidR="0082123E" w:rsidRPr="00A54E3C">
        <w:t xml:space="preserve">SOC </w:t>
      </w:r>
      <w:r w:rsidR="00D246F7" w:rsidRPr="00A54E3C">
        <w:t>report</w:t>
      </w:r>
      <w:r w:rsidR="0082123E" w:rsidRPr="00A54E3C">
        <w:t xml:space="preserve"> for their clients</w:t>
      </w:r>
      <w:r w:rsidR="00D246F7" w:rsidRPr="00A54E3C">
        <w:t xml:space="preserve">. </w:t>
      </w:r>
    </w:p>
    <w:p w14:paraId="47358830" w14:textId="77777777" w:rsidR="00192EE1" w:rsidRPr="00A54E3C" w:rsidRDefault="00192EE1" w:rsidP="00F839EF">
      <w:pPr>
        <w:pStyle w:val="BodyText"/>
        <w:ind w:right="280" w:firstLine="360"/>
        <w:jc w:val="both"/>
      </w:pPr>
    </w:p>
    <w:p w14:paraId="24FE2569" w14:textId="5A644D4E" w:rsidR="00621239" w:rsidRPr="00A54E3C" w:rsidRDefault="00D246F7" w:rsidP="00B820BF">
      <w:pPr>
        <w:pStyle w:val="BodyText"/>
        <w:ind w:right="280" w:firstLine="360"/>
        <w:jc w:val="both"/>
      </w:pPr>
      <w:r w:rsidRPr="00A54E3C">
        <w:t xml:space="preserve">Since the Audit and Compliance Committee had not been reformed at the time of the </w:t>
      </w:r>
      <w:r w:rsidR="003F470A" w:rsidRPr="00A54E3C">
        <w:t>f</w:t>
      </w:r>
      <w:r w:rsidRPr="00A54E3C">
        <w:t xml:space="preserve">ollow-up, </w:t>
      </w:r>
      <w:r w:rsidR="003F470A" w:rsidRPr="00A54E3C">
        <w:t xml:space="preserve">NC Foundation </w:t>
      </w:r>
      <w:r w:rsidRPr="00A54E3C">
        <w:t xml:space="preserve">management requested the New College of Florida Chief Audit Executive perform an evaluation of the </w:t>
      </w:r>
      <w:r w:rsidR="00B820BF" w:rsidRPr="00A54E3C">
        <w:t>ICE</w:t>
      </w:r>
      <w:r w:rsidRPr="00A54E3C">
        <w:t xml:space="preserve"> Report. The Chief Audit Executive evaluated the report and found the report was not prepared by independent external auditors but rather </w:t>
      </w:r>
      <w:r w:rsidR="0082123E" w:rsidRPr="00A54E3C">
        <w:t xml:space="preserve">the </w:t>
      </w:r>
      <w:r w:rsidRPr="00A54E3C">
        <w:t xml:space="preserve">Rothschild &amp; Co Wealth Management UK Risk Team. </w:t>
      </w:r>
      <w:r w:rsidR="00B820BF" w:rsidRPr="00A54E3C">
        <w:t>It was noted the UK Risk Team reports to a Supervisory Committee of the Board of the Company. The</w:t>
      </w:r>
      <w:r w:rsidR="0082123E" w:rsidRPr="00A54E3C">
        <w:t xml:space="preserve"> </w:t>
      </w:r>
      <w:r w:rsidR="00B820BF" w:rsidRPr="00A54E3C">
        <w:t xml:space="preserve">majority of the members of the Supervisory Committee are Rothschild &amp; Co </w:t>
      </w:r>
      <w:r w:rsidR="0082123E" w:rsidRPr="00A54E3C">
        <w:t>executives</w:t>
      </w:r>
      <w:r w:rsidR="003F470A" w:rsidRPr="00A54E3C">
        <w:t xml:space="preserve"> and not independent Board members</w:t>
      </w:r>
      <w:r w:rsidR="00B820BF" w:rsidRPr="00A54E3C">
        <w:t xml:space="preserve">. In reviewing the content of the ICE report, it was noted there </w:t>
      </w:r>
      <w:r w:rsidR="0082123E" w:rsidRPr="00A54E3C">
        <w:t>were</w:t>
      </w:r>
      <w:r w:rsidR="00B820BF" w:rsidRPr="00A54E3C">
        <w:t xml:space="preserve"> brief discussions of the design of the </w:t>
      </w:r>
      <w:r w:rsidR="003F470A" w:rsidRPr="00A54E3C">
        <w:t xml:space="preserve">internal </w:t>
      </w:r>
      <w:r w:rsidR="00B820BF" w:rsidRPr="00A54E3C">
        <w:t xml:space="preserve">control environment but zero references to </w:t>
      </w:r>
      <w:r w:rsidR="0082123E" w:rsidRPr="00A54E3C">
        <w:t xml:space="preserve">the results of </w:t>
      </w:r>
      <w:r w:rsidR="00B820BF" w:rsidRPr="00A54E3C">
        <w:t xml:space="preserve">actual </w:t>
      </w:r>
      <w:r w:rsidR="0082123E" w:rsidRPr="00A54E3C">
        <w:t xml:space="preserve">internal </w:t>
      </w:r>
      <w:r w:rsidR="00B820BF" w:rsidRPr="00A54E3C">
        <w:t>control effectiveness testing</w:t>
      </w:r>
      <w:r w:rsidR="0082123E" w:rsidRPr="00A54E3C">
        <w:t xml:space="preserve">. </w:t>
      </w:r>
      <w:r w:rsidR="00B820BF" w:rsidRPr="00A54E3C">
        <w:t xml:space="preserve">As such, the ICE report </w:t>
      </w:r>
      <w:r w:rsidR="0082123E" w:rsidRPr="00A54E3C">
        <w:t xml:space="preserve">did </w:t>
      </w:r>
      <w:r w:rsidR="00B820BF" w:rsidRPr="00A54E3C">
        <w:t xml:space="preserve">not provide the standard SOC evaluation opinion </w:t>
      </w:r>
      <w:r w:rsidR="0082123E" w:rsidRPr="00A54E3C">
        <w:t>confirming t</w:t>
      </w:r>
      <w:r w:rsidR="00B820BF" w:rsidRPr="00A54E3C">
        <w:t xml:space="preserve">he reliability and effectiveness of the </w:t>
      </w:r>
      <w:r w:rsidR="0082123E" w:rsidRPr="00A54E3C">
        <w:t xml:space="preserve">operating or information system </w:t>
      </w:r>
      <w:r w:rsidR="00B820BF" w:rsidRPr="00A54E3C">
        <w:t>control environment</w:t>
      </w:r>
      <w:r w:rsidR="0082123E" w:rsidRPr="00A54E3C">
        <w:t>s</w:t>
      </w:r>
      <w:r w:rsidR="00B820BF" w:rsidRPr="00A54E3C">
        <w:t xml:space="preserve">. </w:t>
      </w:r>
    </w:p>
    <w:p w14:paraId="44EDEE42" w14:textId="77777777" w:rsidR="00D32B2D" w:rsidRPr="00A54E3C" w:rsidRDefault="00D32B2D" w:rsidP="00F839EF">
      <w:pPr>
        <w:pStyle w:val="BodyText"/>
        <w:ind w:right="280" w:firstLine="360"/>
        <w:jc w:val="both"/>
      </w:pPr>
    </w:p>
    <w:p w14:paraId="76DA2DE5" w14:textId="77777777" w:rsidR="00D32B2D" w:rsidRPr="00A54E3C" w:rsidRDefault="00D32B2D" w:rsidP="00D32B2D">
      <w:pPr>
        <w:pStyle w:val="BodyText"/>
        <w:ind w:right="495"/>
        <w:jc w:val="both"/>
        <w:rPr>
          <w:b/>
        </w:rPr>
      </w:pPr>
      <w:r w:rsidRPr="00A54E3C">
        <w:rPr>
          <w:b/>
        </w:rPr>
        <w:t>Engagement Objectives:</w:t>
      </w:r>
    </w:p>
    <w:p w14:paraId="2B1F94D1" w14:textId="77777777" w:rsidR="00D32B2D" w:rsidRPr="00A54E3C" w:rsidRDefault="00D32B2D" w:rsidP="00D32B2D">
      <w:pPr>
        <w:pStyle w:val="BodyText"/>
        <w:ind w:right="280"/>
        <w:jc w:val="both"/>
      </w:pPr>
    </w:p>
    <w:p w14:paraId="759CDBAE" w14:textId="4C8BE0ED" w:rsidR="00910DDA" w:rsidRPr="00A54E3C" w:rsidRDefault="00D32B2D" w:rsidP="00910DDA">
      <w:pPr>
        <w:pStyle w:val="BodyText"/>
        <w:ind w:right="280" w:firstLine="360"/>
        <w:jc w:val="both"/>
      </w:pPr>
      <w:r w:rsidRPr="00A54E3C">
        <w:t>A</w:t>
      </w:r>
      <w:r w:rsidR="00226CD4" w:rsidRPr="00A54E3C">
        <w:t>s</w:t>
      </w:r>
      <w:r w:rsidRPr="00A54E3C">
        <w:t xml:space="preserve"> request</w:t>
      </w:r>
      <w:r w:rsidR="00226CD4" w:rsidRPr="00A54E3C">
        <w:t xml:space="preserve">ed by </w:t>
      </w:r>
      <w:r w:rsidRPr="00A54E3C">
        <w:t xml:space="preserve">the </w:t>
      </w:r>
      <w:r w:rsidR="00B820BF" w:rsidRPr="00A54E3C">
        <w:t>NC Foundation Executive Director</w:t>
      </w:r>
      <w:r w:rsidRPr="00A54E3C">
        <w:t xml:space="preserve">, the objective of the engagement </w:t>
      </w:r>
      <w:r w:rsidR="004F47AE" w:rsidRPr="00A54E3C">
        <w:t>w</w:t>
      </w:r>
      <w:r w:rsidR="00CC00F6" w:rsidRPr="00A54E3C">
        <w:t>as</w:t>
      </w:r>
      <w:r w:rsidR="004F47AE" w:rsidRPr="00A54E3C">
        <w:t xml:space="preserve"> </w:t>
      </w:r>
      <w:r w:rsidRPr="00A54E3C">
        <w:t xml:space="preserve">to </w:t>
      </w:r>
      <w:r w:rsidR="00B820BF" w:rsidRPr="00A54E3C">
        <w:t xml:space="preserve">evaluate the effectiveness of the Rothschild &amp; Co Internal Control Environment report as a proxy for the standard SOC </w:t>
      </w:r>
      <w:r w:rsidR="00D6598A" w:rsidRPr="00A54E3C">
        <w:t xml:space="preserve">evaluation report. </w:t>
      </w:r>
    </w:p>
    <w:p w14:paraId="1DA4A689" w14:textId="77777777" w:rsidR="00D32B2D" w:rsidRPr="00A54E3C" w:rsidRDefault="00D32B2D" w:rsidP="00F839EF">
      <w:pPr>
        <w:pStyle w:val="BodyText"/>
        <w:ind w:right="280" w:firstLine="360"/>
        <w:jc w:val="both"/>
      </w:pPr>
    </w:p>
    <w:p w14:paraId="5095A737" w14:textId="77777777" w:rsidR="00DC678A" w:rsidRPr="00A54E3C" w:rsidRDefault="00DC678A" w:rsidP="008D5F9D">
      <w:pPr>
        <w:pStyle w:val="BodyText"/>
        <w:ind w:right="495"/>
        <w:jc w:val="both"/>
        <w:rPr>
          <w:b/>
        </w:rPr>
      </w:pPr>
      <w:r w:rsidRPr="00A54E3C">
        <w:rPr>
          <w:b/>
        </w:rPr>
        <w:t>Scope:</w:t>
      </w:r>
    </w:p>
    <w:p w14:paraId="183CD3D5" w14:textId="77777777" w:rsidR="00DC678A" w:rsidRPr="00A54E3C" w:rsidRDefault="00DC678A" w:rsidP="008D5F9D">
      <w:pPr>
        <w:pStyle w:val="BodyText"/>
        <w:ind w:right="495"/>
        <w:jc w:val="both"/>
      </w:pPr>
    </w:p>
    <w:p w14:paraId="7097469A" w14:textId="3CD4FBDA" w:rsidR="000A5417" w:rsidRPr="00A54E3C" w:rsidRDefault="00CC00F6" w:rsidP="00A55925">
      <w:pPr>
        <w:pStyle w:val="BodyText"/>
        <w:ind w:right="280" w:firstLine="360"/>
        <w:jc w:val="both"/>
      </w:pPr>
      <w:r w:rsidRPr="00A54E3C">
        <w:t xml:space="preserve">The scope of the </w:t>
      </w:r>
      <w:r w:rsidR="00D6598A" w:rsidRPr="00A54E3C">
        <w:t>ICE report evaluation was the April</w:t>
      </w:r>
      <w:r w:rsidR="00C776E1">
        <w:t xml:space="preserve"> </w:t>
      </w:r>
      <w:r w:rsidR="00D6598A" w:rsidRPr="00A54E3C">
        <w:t xml:space="preserve">2023 ICE report. </w:t>
      </w:r>
    </w:p>
    <w:p w14:paraId="767C72EF" w14:textId="77777777" w:rsidR="005F77F6" w:rsidRPr="00A54E3C" w:rsidRDefault="005F77F6" w:rsidP="006E2E2D">
      <w:pPr>
        <w:pStyle w:val="BodyText"/>
        <w:ind w:right="495" w:firstLine="360"/>
        <w:jc w:val="both"/>
      </w:pPr>
    </w:p>
    <w:p w14:paraId="1F5237BB" w14:textId="69F13A49" w:rsidR="00F839EF" w:rsidRPr="00A54E3C" w:rsidRDefault="00F839EF" w:rsidP="00F839EF">
      <w:pPr>
        <w:pStyle w:val="Heading1"/>
        <w:ind w:left="0"/>
        <w:rPr>
          <w:bCs w:val="0"/>
        </w:rPr>
      </w:pPr>
      <w:r w:rsidRPr="00A54E3C">
        <w:rPr>
          <w:bCs w:val="0"/>
        </w:rPr>
        <w:t>Procedures Performed</w:t>
      </w:r>
      <w:r w:rsidR="00E16DF5">
        <w:rPr>
          <w:bCs w:val="0"/>
        </w:rPr>
        <w:t>:</w:t>
      </w:r>
    </w:p>
    <w:p w14:paraId="3030D2FB" w14:textId="77777777" w:rsidR="00F839EF" w:rsidRPr="00A54E3C" w:rsidRDefault="00F839EF" w:rsidP="00F839EF">
      <w:pPr>
        <w:pStyle w:val="BodyText"/>
        <w:spacing w:before="9"/>
        <w:rPr>
          <w:b/>
          <w:sz w:val="23"/>
        </w:rPr>
      </w:pPr>
    </w:p>
    <w:p w14:paraId="5C1ABD0D" w14:textId="2BDB726C" w:rsidR="00AE3798" w:rsidRPr="00A54E3C" w:rsidRDefault="008A4D40" w:rsidP="0080550D">
      <w:pPr>
        <w:pStyle w:val="BodyText"/>
        <w:spacing w:before="1"/>
        <w:ind w:right="280" w:firstLine="360"/>
        <w:jc w:val="both"/>
      </w:pPr>
      <w:r w:rsidRPr="00A54E3C">
        <w:t>The consulting engagement was conducted in accordance with the Institute of Internal Auditor</w:t>
      </w:r>
      <w:r w:rsidR="00C56FB4" w:rsidRPr="00A54E3C">
        <w:t>s</w:t>
      </w:r>
      <w:r w:rsidRPr="00A54E3C">
        <w:t xml:space="preserve"> guidelines. </w:t>
      </w:r>
      <w:r w:rsidR="009A3224" w:rsidRPr="00A54E3C">
        <w:t>P</w:t>
      </w:r>
      <w:r w:rsidR="00AE3798" w:rsidRPr="00A54E3C">
        <w:t>rocedures performed in</w:t>
      </w:r>
      <w:r w:rsidR="0082123E" w:rsidRPr="00A54E3C">
        <w:t>cluded</w:t>
      </w:r>
      <w:r w:rsidR="00AE3798" w:rsidRPr="00A54E3C">
        <w:t xml:space="preserve"> </w:t>
      </w:r>
      <w:r w:rsidR="00D6598A" w:rsidRPr="00A54E3C">
        <w:t xml:space="preserve">correspondence with Rothschild &amp; Co management personnel, </w:t>
      </w:r>
      <w:r w:rsidR="00D6598A" w:rsidRPr="00A54E3C">
        <w:lastRenderedPageBreak/>
        <w:t xml:space="preserve">research of the Rothschild &amp; Co Corporate Governance website materials, and a detailed review of the April 2023 ICE report. </w:t>
      </w:r>
    </w:p>
    <w:p w14:paraId="08D37BB6" w14:textId="77777777" w:rsidR="008A4D40" w:rsidRPr="00A54E3C" w:rsidRDefault="008A4D40" w:rsidP="005F77F6">
      <w:pPr>
        <w:pStyle w:val="BodyText"/>
        <w:ind w:right="495"/>
        <w:jc w:val="both"/>
      </w:pPr>
    </w:p>
    <w:p w14:paraId="343D9C61" w14:textId="4E2E7371" w:rsidR="005F77F6" w:rsidRPr="00A54E3C" w:rsidRDefault="005F77F6" w:rsidP="005F77F6">
      <w:pPr>
        <w:pStyle w:val="BodyText"/>
        <w:ind w:right="495"/>
        <w:jc w:val="both"/>
        <w:rPr>
          <w:b/>
        </w:rPr>
      </w:pPr>
      <w:r w:rsidRPr="00A54E3C">
        <w:rPr>
          <w:b/>
        </w:rPr>
        <w:t>Consulting Engagement</w:t>
      </w:r>
      <w:r w:rsidR="00D6598A" w:rsidRPr="00A54E3C">
        <w:rPr>
          <w:b/>
        </w:rPr>
        <w:t xml:space="preserve"> Determinations</w:t>
      </w:r>
      <w:r w:rsidR="00E16DF5">
        <w:rPr>
          <w:b/>
        </w:rPr>
        <w:t>:</w:t>
      </w:r>
      <w:r w:rsidRPr="00A54E3C">
        <w:rPr>
          <w:b/>
        </w:rPr>
        <w:t xml:space="preserve"> </w:t>
      </w:r>
    </w:p>
    <w:p w14:paraId="17D6E5C2" w14:textId="77777777" w:rsidR="00445F67" w:rsidRPr="00A54E3C" w:rsidRDefault="00445F67" w:rsidP="005F77F6">
      <w:pPr>
        <w:pStyle w:val="BodyText"/>
        <w:ind w:right="495"/>
        <w:jc w:val="both"/>
        <w:rPr>
          <w:b/>
        </w:rPr>
      </w:pPr>
    </w:p>
    <w:p w14:paraId="3AA515F9" w14:textId="39F79AE8" w:rsidR="004A3B19" w:rsidRPr="00A54E3C" w:rsidRDefault="00D6598A" w:rsidP="00D6598A">
      <w:pPr>
        <w:pStyle w:val="BodyText"/>
        <w:ind w:right="495" w:firstLine="360"/>
        <w:jc w:val="both"/>
      </w:pPr>
      <w:r w:rsidRPr="00A54E3C">
        <w:t>After reviewing the I</w:t>
      </w:r>
      <w:r w:rsidR="00445F67" w:rsidRPr="00A54E3C">
        <w:t>CE</w:t>
      </w:r>
      <w:r w:rsidRPr="00A54E3C">
        <w:t xml:space="preserve"> report, the Chief Audit Executive has concluded the report is not an acceptable proxy for </w:t>
      </w:r>
      <w:r w:rsidR="00192EE1" w:rsidRPr="00A54E3C">
        <w:t>a SOC</w:t>
      </w:r>
      <w:r w:rsidRPr="00A54E3C">
        <w:t xml:space="preserve"> evaluation report. The report is not performed by independent auditors reporting to an independent body. The report preparation </w:t>
      </w:r>
      <w:r w:rsidR="003F470A" w:rsidRPr="00A54E3C">
        <w:t>and</w:t>
      </w:r>
      <w:r w:rsidRPr="00A54E3C">
        <w:t xml:space="preserve"> content do not include the actual testing of the effectiveness of internal controls over client statements, client private information, or the reporting of investment results or valuations. </w:t>
      </w:r>
      <w:r w:rsidR="0082123E" w:rsidRPr="00A54E3C">
        <w:t xml:space="preserve">As such, the NC Foundation is not receiving the same level of assurance with the ICE report as it would with the U.S. standard SOC evaluation report. </w:t>
      </w:r>
      <w:r w:rsidR="003F470A" w:rsidRPr="00A54E3C">
        <w:t>The absence of an independent evaluation of internal control</w:t>
      </w:r>
      <w:r w:rsidR="00192EE1" w:rsidRPr="00A54E3C">
        <w:t>s</w:t>
      </w:r>
      <w:r w:rsidR="003F470A" w:rsidRPr="00A54E3C">
        <w:t xml:space="preserve"> materially increases the risk</w:t>
      </w:r>
      <w:r w:rsidR="003D0227" w:rsidRPr="00A54E3C">
        <w:t>s</w:t>
      </w:r>
      <w:r w:rsidR="003F470A" w:rsidRPr="00A54E3C">
        <w:t xml:space="preserve"> of inaccurate investment statements, inaccurate investment valuation</w:t>
      </w:r>
      <w:r w:rsidR="00C97B6C" w:rsidRPr="00A54E3C">
        <w:t>s</w:t>
      </w:r>
      <w:r w:rsidR="003F470A" w:rsidRPr="00A54E3C">
        <w:t xml:space="preserve">, </w:t>
      </w:r>
      <w:r w:rsidR="003D0227" w:rsidRPr="00A54E3C">
        <w:t xml:space="preserve">misappropriation of investments, and unauthorized changes to investments. </w:t>
      </w:r>
    </w:p>
    <w:p w14:paraId="29D1A589" w14:textId="77777777" w:rsidR="009D278E" w:rsidRPr="00A54E3C" w:rsidRDefault="009D278E" w:rsidP="006E2E2D">
      <w:pPr>
        <w:pStyle w:val="BodyText"/>
        <w:ind w:right="494" w:firstLine="360"/>
        <w:jc w:val="both"/>
      </w:pPr>
    </w:p>
    <w:p w14:paraId="6AC847E4" w14:textId="77777777" w:rsidR="00CB6C29" w:rsidRPr="00A54E3C" w:rsidRDefault="00CB6C29">
      <w:pPr>
        <w:pStyle w:val="BodyText"/>
      </w:pPr>
      <w:r w:rsidRPr="00A54E3C">
        <w:t xml:space="preserve">Respectfully, </w:t>
      </w:r>
    </w:p>
    <w:p w14:paraId="207AEED7" w14:textId="77777777" w:rsidR="00CB6C29" w:rsidRPr="00A54E3C" w:rsidRDefault="00CB6C29">
      <w:pPr>
        <w:pStyle w:val="BodyText"/>
      </w:pPr>
    </w:p>
    <w:p w14:paraId="27296F12" w14:textId="77777777" w:rsidR="00CB6C29" w:rsidRPr="00A54E3C" w:rsidRDefault="00CB6C29">
      <w:pPr>
        <w:pStyle w:val="BodyText"/>
      </w:pPr>
      <w:r w:rsidRPr="00A54E3C">
        <w:t xml:space="preserve">Alexander G. </w:t>
      </w:r>
      <w:proofErr w:type="spellStart"/>
      <w:r w:rsidRPr="00A54E3C">
        <w:t>Tzoumas</w:t>
      </w:r>
      <w:proofErr w:type="spellEnd"/>
      <w:r w:rsidRPr="00A54E3C">
        <w:t>, CIA, CISA, CFE, CRMA, CDPSE</w:t>
      </w:r>
    </w:p>
    <w:p w14:paraId="7B96CB85" w14:textId="77777777" w:rsidR="00D57198" w:rsidRPr="00A54E3C" w:rsidRDefault="00CB6C29" w:rsidP="00D57198">
      <w:pPr>
        <w:rPr>
          <w:sz w:val="24"/>
          <w:szCs w:val="24"/>
        </w:rPr>
      </w:pPr>
      <w:r w:rsidRPr="00A54E3C">
        <w:rPr>
          <w:sz w:val="24"/>
          <w:szCs w:val="24"/>
        </w:rPr>
        <w:t>Chief Audit Executive &amp; Chief Compliance Officer, NCF</w:t>
      </w:r>
    </w:p>
    <w:p w14:paraId="630AA02E" w14:textId="77777777" w:rsidR="000A5417" w:rsidRPr="00A54E3C" w:rsidRDefault="000A5417" w:rsidP="00D57198">
      <w:pPr>
        <w:rPr>
          <w:sz w:val="23"/>
        </w:rPr>
      </w:pPr>
    </w:p>
    <w:sectPr w:rsidR="000A5417" w:rsidRPr="00A54E3C">
      <w:headerReference w:type="default" r:id="rId7"/>
      <w:footerReference w:type="default" r:id="rId8"/>
      <w:pgSz w:w="12240" w:h="15840"/>
      <w:pgMar w:top="138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0500D" w14:textId="77777777" w:rsidR="006F09CE" w:rsidRDefault="006F09CE" w:rsidP="009170F1">
      <w:r>
        <w:separator/>
      </w:r>
    </w:p>
  </w:endnote>
  <w:endnote w:type="continuationSeparator" w:id="0">
    <w:p w14:paraId="7A1532E3" w14:textId="77777777" w:rsidR="006F09CE" w:rsidRDefault="006F09CE" w:rsidP="0091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8906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268D6E" w14:textId="245ED68F" w:rsidR="009170F1" w:rsidRDefault="009170F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ED9642" w14:textId="77777777" w:rsidR="009170F1" w:rsidRDefault="00917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C291" w14:textId="77777777" w:rsidR="006F09CE" w:rsidRDefault="006F09CE" w:rsidP="009170F1">
      <w:r>
        <w:separator/>
      </w:r>
    </w:p>
  </w:footnote>
  <w:footnote w:type="continuationSeparator" w:id="0">
    <w:p w14:paraId="7AA293B0" w14:textId="77777777" w:rsidR="006F09CE" w:rsidRDefault="006F09CE" w:rsidP="0091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3E2A" w14:textId="12497E9D" w:rsidR="009170F1" w:rsidRPr="009170F1" w:rsidRDefault="009170F1">
    <w:pPr>
      <w:pStyle w:val="Header"/>
      <w:rPr>
        <w:sz w:val="28"/>
        <w:szCs w:val="28"/>
      </w:rPr>
    </w:pPr>
    <w:r w:rsidRPr="009170F1">
      <w:tab/>
    </w:r>
    <w:r w:rsidRPr="009170F1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39BADD0" wp14:editId="1DFD627B">
          <wp:simplePos x="0" y="0"/>
          <wp:positionH relativeFrom="column">
            <wp:posOffset>5111750</wp:posOffset>
          </wp:positionH>
          <wp:positionV relativeFrom="paragraph">
            <wp:posOffset>-266700</wp:posOffset>
          </wp:positionV>
          <wp:extent cx="1485265" cy="533400"/>
          <wp:effectExtent l="0" t="0" r="635" b="0"/>
          <wp:wrapSquare wrapText="bothSides"/>
          <wp:docPr id="10" name="Picture 10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74872"/>
    <w:multiLevelType w:val="hybridMultilevel"/>
    <w:tmpl w:val="14160FE8"/>
    <w:lvl w:ilvl="0" w:tplc="9CEED68C">
      <w:start w:val="1"/>
      <w:numFmt w:val="upperRoman"/>
      <w:lvlText w:val="%1."/>
      <w:lvlJc w:val="left"/>
      <w:pPr>
        <w:ind w:left="121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52002CEC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C2A26508">
      <w:numFmt w:val="bullet"/>
      <w:lvlText w:val=""/>
      <w:lvlJc w:val="left"/>
      <w:pPr>
        <w:ind w:left="1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3" w:tplc="80CED07E">
      <w:numFmt w:val="bullet"/>
      <w:lvlText w:val="•"/>
      <w:lvlJc w:val="left"/>
      <w:pPr>
        <w:ind w:left="2992" w:hanging="360"/>
      </w:pPr>
      <w:rPr>
        <w:rFonts w:hint="default"/>
      </w:rPr>
    </w:lvl>
    <w:lvl w:ilvl="4" w:tplc="F4B8C302"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9FC82962">
      <w:numFmt w:val="bullet"/>
      <w:lvlText w:val="•"/>
      <w:lvlJc w:val="left"/>
      <w:pPr>
        <w:ind w:left="5097" w:hanging="360"/>
      </w:pPr>
      <w:rPr>
        <w:rFonts w:hint="default"/>
      </w:rPr>
    </w:lvl>
    <w:lvl w:ilvl="6" w:tplc="F4D8CE66"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D960EAB4">
      <w:numFmt w:val="bullet"/>
      <w:lvlText w:val="•"/>
      <w:lvlJc w:val="left"/>
      <w:pPr>
        <w:ind w:left="7202" w:hanging="360"/>
      </w:pPr>
      <w:rPr>
        <w:rFonts w:hint="default"/>
      </w:rPr>
    </w:lvl>
    <w:lvl w:ilvl="8" w:tplc="82FC77EC">
      <w:numFmt w:val="bullet"/>
      <w:lvlText w:val="•"/>
      <w:lvlJc w:val="left"/>
      <w:pPr>
        <w:ind w:left="8255" w:hanging="360"/>
      </w:pPr>
      <w:rPr>
        <w:rFonts w:hint="default"/>
      </w:rPr>
    </w:lvl>
  </w:abstractNum>
  <w:abstractNum w:abstractNumId="1" w15:restartNumberingAfterBreak="0">
    <w:nsid w:val="51167A56"/>
    <w:multiLevelType w:val="hybridMultilevel"/>
    <w:tmpl w:val="09F67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5886213">
    <w:abstractNumId w:val="0"/>
  </w:num>
  <w:num w:numId="2" w16cid:durableId="23443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17"/>
    <w:rsid w:val="000129A7"/>
    <w:rsid w:val="00031524"/>
    <w:rsid w:val="000A5417"/>
    <w:rsid w:val="000B1037"/>
    <w:rsid w:val="000B1F08"/>
    <w:rsid w:val="000C351F"/>
    <w:rsid w:val="000E5B4A"/>
    <w:rsid w:val="00103E53"/>
    <w:rsid w:val="00187B75"/>
    <w:rsid w:val="00192EE1"/>
    <w:rsid w:val="001B4671"/>
    <w:rsid w:val="001C15E8"/>
    <w:rsid w:val="001F2251"/>
    <w:rsid w:val="002122FF"/>
    <w:rsid w:val="00222886"/>
    <w:rsid w:val="00226CD4"/>
    <w:rsid w:val="002442A8"/>
    <w:rsid w:val="00264BA5"/>
    <w:rsid w:val="002878B7"/>
    <w:rsid w:val="002B44B7"/>
    <w:rsid w:val="002C43B3"/>
    <w:rsid w:val="002F5438"/>
    <w:rsid w:val="00315637"/>
    <w:rsid w:val="00344F62"/>
    <w:rsid w:val="00397DB8"/>
    <w:rsid w:val="003A3D0E"/>
    <w:rsid w:val="003A58EF"/>
    <w:rsid w:val="003C7756"/>
    <w:rsid w:val="003D0227"/>
    <w:rsid w:val="003F470A"/>
    <w:rsid w:val="00401478"/>
    <w:rsid w:val="00445F67"/>
    <w:rsid w:val="0048471B"/>
    <w:rsid w:val="00497B98"/>
    <w:rsid w:val="004A237A"/>
    <w:rsid w:val="004A3B19"/>
    <w:rsid w:val="004F47AE"/>
    <w:rsid w:val="005172DF"/>
    <w:rsid w:val="00520661"/>
    <w:rsid w:val="0053513D"/>
    <w:rsid w:val="00541D62"/>
    <w:rsid w:val="00545743"/>
    <w:rsid w:val="00556EE7"/>
    <w:rsid w:val="0056147A"/>
    <w:rsid w:val="005C51D6"/>
    <w:rsid w:val="005E6CC6"/>
    <w:rsid w:val="005F77F6"/>
    <w:rsid w:val="00607BDC"/>
    <w:rsid w:val="00621239"/>
    <w:rsid w:val="00680E23"/>
    <w:rsid w:val="006C64F9"/>
    <w:rsid w:val="006E2E2D"/>
    <w:rsid w:val="006F09CE"/>
    <w:rsid w:val="006F6642"/>
    <w:rsid w:val="007618F2"/>
    <w:rsid w:val="007A28DB"/>
    <w:rsid w:val="007B3709"/>
    <w:rsid w:val="007F1066"/>
    <w:rsid w:val="007F4665"/>
    <w:rsid w:val="008009A9"/>
    <w:rsid w:val="0080550D"/>
    <w:rsid w:val="0082123E"/>
    <w:rsid w:val="00826E12"/>
    <w:rsid w:val="00830675"/>
    <w:rsid w:val="008313BA"/>
    <w:rsid w:val="00832F1D"/>
    <w:rsid w:val="00850069"/>
    <w:rsid w:val="00872CAC"/>
    <w:rsid w:val="008A4D40"/>
    <w:rsid w:val="008A5CD5"/>
    <w:rsid w:val="008B5A4B"/>
    <w:rsid w:val="008D5F9D"/>
    <w:rsid w:val="008E13E6"/>
    <w:rsid w:val="008E6888"/>
    <w:rsid w:val="00910DDA"/>
    <w:rsid w:val="00910FF7"/>
    <w:rsid w:val="009170F1"/>
    <w:rsid w:val="00917894"/>
    <w:rsid w:val="00927D7C"/>
    <w:rsid w:val="009621CD"/>
    <w:rsid w:val="009A3224"/>
    <w:rsid w:val="009D278E"/>
    <w:rsid w:val="009D2953"/>
    <w:rsid w:val="009E13F7"/>
    <w:rsid w:val="00A20F08"/>
    <w:rsid w:val="00A54E3C"/>
    <w:rsid w:val="00A55925"/>
    <w:rsid w:val="00AE3798"/>
    <w:rsid w:val="00B71E73"/>
    <w:rsid w:val="00B74738"/>
    <w:rsid w:val="00B820BF"/>
    <w:rsid w:val="00B85577"/>
    <w:rsid w:val="00C1384C"/>
    <w:rsid w:val="00C15859"/>
    <w:rsid w:val="00C46571"/>
    <w:rsid w:val="00C556A5"/>
    <w:rsid w:val="00C56FB4"/>
    <w:rsid w:val="00C776E1"/>
    <w:rsid w:val="00C97B6C"/>
    <w:rsid w:val="00CA595D"/>
    <w:rsid w:val="00CB6C29"/>
    <w:rsid w:val="00CC00F6"/>
    <w:rsid w:val="00CD500F"/>
    <w:rsid w:val="00CE3D41"/>
    <w:rsid w:val="00D11E4E"/>
    <w:rsid w:val="00D246F7"/>
    <w:rsid w:val="00D32B2D"/>
    <w:rsid w:val="00D4272A"/>
    <w:rsid w:val="00D57198"/>
    <w:rsid w:val="00D6598A"/>
    <w:rsid w:val="00DC678A"/>
    <w:rsid w:val="00DD2B66"/>
    <w:rsid w:val="00DD715D"/>
    <w:rsid w:val="00DF6FD8"/>
    <w:rsid w:val="00E12CE5"/>
    <w:rsid w:val="00E16DF5"/>
    <w:rsid w:val="00EC61F8"/>
    <w:rsid w:val="00F273BF"/>
    <w:rsid w:val="00F5202C"/>
    <w:rsid w:val="00F57EE0"/>
    <w:rsid w:val="00F63E9E"/>
    <w:rsid w:val="00F839EF"/>
    <w:rsid w:val="00FA57F8"/>
    <w:rsid w:val="00F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3445"/>
  <w15:docId w15:val="{26B34BBD-951A-47CB-98B0-5C410361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F2251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17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0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7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0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{63E81BE2-3981-4379-9FC1-6181C59EC201}.docx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{63E81BE2-3981-4379-9FC1-6181C59EC201}.docx</dc:title>
  <dc:creator>Jacqualyn</dc:creator>
  <cp:lastModifiedBy>Alex Tzoumas</cp:lastModifiedBy>
  <cp:revision>13</cp:revision>
  <dcterms:created xsi:type="dcterms:W3CDTF">2024-04-08T16:16:00Z</dcterms:created>
  <dcterms:modified xsi:type="dcterms:W3CDTF">2024-05-07T19:38:00Z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2021-05-19T00:00:00Z</vt:filetime>
  </property>
</Properties>
</file>