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1B3D" w:rsidRDefault="00000000">
      <w:pPr>
        <w:rPr>
          <w:i/>
          <w:color w:val="222222"/>
        </w:rPr>
      </w:pPr>
      <w:r>
        <w:t xml:space="preserve">Motion: </w:t>
      </w:r>
    </w:p>
    <w:p w14:paraId="00000002" w14:textId="77777777" w:rsidR="00601B3D" w:rsidRDefault="00601B3D">
      <w:pPr>
        <w:rPr>
          <w:i/>
          <w:color w:val="222222"/>
        </w:rPr>
      </w:pPr>
    </w:p>
    <w:p w14:paraId="00000003" w14:textId="77777777" w:rsidR="00601B3D" w:rsidRDefault="00000000">
      <w:pPr>
        <w:rPr>
          <w:i/>
          <w:color w:val="222222"/>
        </w:rPr>
      </w:pPr>
      <w:r>
        <w:rPr>
          <w:i/>
          <w:color w:val="222222"/>
        </w:rPr>
        <w:t>To accept the General Education requirements for the 2024-25 incoming cohort and the proposed framework for 2025-26 incoming cohort as indicated below:</w:t>
      </w:r>
    </w:p>
    <w:p w14:paraId="00000004" w14:textId="77777777" w:rsidR="00601B3D" w:rsidRDefault="00601B3D">
      <w:pPr>
        <w:rPr>
          <w:i/>
          <w:color w:val="222222"/>
        </w:rPr>
      </w:pPr>
    </w:p>
    <w:p w14:paraId="00000005" w14:textId="77777777" w:rsidR="00601B3D" w:rsidRDefault="00000000">
      <w:pPr>
        <w:shd w:val="clear" w:color="auto" w:fill="FFFFFF"/>
        <w:rPr>
          <w:i/>
          <w:color w:val="222222"/>
        </w:rPr>
      </w:pPr>
      <w:r>
        <w:rPr>
          <w:i/>
          <w:color w:val="222222"/>
        </w:rPr>
        <w:t>(a) The General Education requirement for the 2024-25 incoming cohort is the BOG core and 5 CYC elective courses (Including 1 WEC)</w:t>
      </w:r>
    </w:p>
    <w:p w14:paraId="00000006" w14:textId="77777777" w:rsidR="00601B3D" w:rsidRDefault="00601B3D">
      <w:pPr>
        <w:shd w:val="clear" w:color="auto" w:fill="FFFFFF"/>
        <w:rPr>
          <w:i/>
          <w:color w:val="222222"/>
        </w:rPr>
      </w:pPr>
    </w:p>
    <w:p w14:paraId="00000007" w14:textId="77777777" w:rsidR="00601B3D" w:rsidRDefault="00000000">
      <w:pPr>
        <w:shd w:val="clear" w:color="auto" w:fill="FFFFFF"/>
        <w:rPr>
          <w:i/>
          <w:color w:val="222222"/>
        </w:rPr>
      </w:pPr>
      <w:r>
        <w:rPr>
          <w:i/>
          <w:color w:val="222222"/>
        </w:rPr>
        <w:t>(b) In order to propose courses for General Education approval for 2025-26, the faculty will use the following framework:</w:t>
      </w:r>
    </w:p>
    <w:p w14:paraId="00000008" w14:textId="77777777" w:rsidR="00601B3D" w:rsidRDefault="00000000">
      <w:pPr>
        <w:shd w:val="clear" w:color="auto" w:fill="FFFFFF"/>
        <w:rPr>
          <w:i/>
          <w:color w:val="222222"/>
        </w:rPr>
      </w:pPr>
      <w:r>
        <w:rPr>
          <w:i/>
          <w:color w:val="222222"/>
        </w:rPr>
        <w:tab/>
        <w:t>BOG core (including Odysseys) + Intro to Techne: Data Design and the Digital World + 2 Enduring Human Questions classes + WEC + ISP</w:t>
      </w:r>
    </w:p>
    <w:p w14:paraId="00000009" w14:textId="77777777" w:rsidR="00601B3D" w:rsidRDefault="00000000">
      <w:pPr>
        <w:shd w:val="clear" w:color="auto" w:fill="FFFFFF"/>
        <w:ind w:firstLine="720"/>
        <w:rPr>
          <w:i/>
          <w:color w:val="222222"/>
        </w:rPr>
      </w:pPr>
      <w:r>
        <w:rPr>
          <w:i/>
          <w:color w:val="222222"/>
        </w:rPr>
        <w:t>The general process to approve courses will go from:</w:t>
      </w:r>
    </w:p>
    <w:p w14:paraId="0000000A" w14:textId="77777777" w:rsidR="00601B3D" w:rsidRDefault="00000000">
      <w:pPr>
        <w:shd w:val="clear" w:color="auto" w:fill="FFFFFF"/>
        <w:rPr>
          <w:i/>
          <w:color w:val="222222"/>
        </w:rPr>
      </w:pPr>
      <w:r>
        <w:rPr>
          <w:i/>
          <w:color w:val="222222"/>
        </w:rPr>
        <w:tab/>
        <w:t>Faculty member —&gt; Division —&gt; EPC (or Gen Ed committee) —&gt; Provost —&gt; President —&gt; BOT —&gt; BOG</w:t>
      </w:r>
    </w:p>
    <w:p w14:paraId="0000000B" w14:textId="77777777" w:rsidR="00601B3D" w:rsidRDefault="00000000">
      <w:pPr>
        <w:shd w:val="clear" w:color="auto" w:fill="FFFFFF"/>
        <w:rPr>
          <w:i/>
          <w:color w:val="222222"/>
        </w:rPr>
      </w:pPr>
      <w:r>
        <w:rPr>
          <w:i/>
          <w:color w:val="222222"/>
        </w:rPr>
        <w:t>WEC course approval: Faculty member —&gt; Division —&gt; Director of Writing —&gt; Provost —&gt; President —&gt; BOT —&gt; BOG</w:t>
      </w:r>
    </w:p>
    <w:p w14:paraId="0000000C" w14:textId="77777777" w:rsidR="00601B3D" w:rsidRDefault="00601B3D">
      <w:pPr>
        <w:shd w:val="clear" w:color="auto" w:fill="FFFFFF"/>
        <w:rPr>
          <w:i/>
          <w:color w:val="222222"/>
        </w:rPr>
      </w:pPr>
    </w:p>
    <w:p w14:paraId="0000000D" w14:textId="77777777" w:rsidR="00601B3D" w:rsidRDefault="00601B3D">
      <w:pPr>
        <w:shd w:val="clear" w:color="auto" w:fill="FFFFFF"/>
        <w:rPr>
          <w:i/>
          <w:color w:val="222222"/>
        </w:rPr>
      </w:pPr>
    </w:p>
    <w:p w14:paraId="0000000E" w14:textId="77777777" w:rsidR="00601B3D" w:rsidRDefault="00000000">
      <w:pPr>
        <w:shd w:val="clear" w:color="auto" w:fill="FFFFFF"/>
        <w:rPr>
          <w:color w:val="222222"/>
        </w:rPr>
      </w:pPr>
      <w:r>
        <w:rPr>
          <w:color w:val="222222"/>
        </w:rPr>
        <w:t>Rationale:</w:t>
      </w:r>
    </w:p>
    <w:p w14:paraId="0000000F" w14:textId="77777777" w:rsidR="00601B3D" w:rsidRDefault="00601B3D">
      <w:pPr>
        <w:shd w:val="clear" w:color="auto" w:fill="FFFFFF"/>
        <w:rPr>
          <w:color w:val="222222"/>
        </w:rPr>
      </w:pPr>
    </w:p>
    <w:p w14:paraId="00000010" w14:textId="77777777" w:rsidR="00601B3D" w:rsidRDefault="00000000">
      <w:pPr>
        <w:shd w:val="clear" w:color="auto" w:fill="FFFFFF"/>
        <w:rPr>
          <w:color w:val="222222"/>
        </w:rPr>
      </w:pPr>
      <w:r>
        <w:rPr>
          <w:b/>
          <w:color w:val="222222"/>
        </w:rPr>
        <w:t>Motion Part (a)</w:t>
      </w:r>
      <w:r>
        <w:rPr>
          <w:color w:val="222222"/>
        </w:rPr>
        <w:t xml:space="preserve">: Guidance from the Board of Governors in response to SB 266 redefined the SUS General Education Requirements to include one course each from menus from five areas of study: Communication (Writing); Humanities; Social Sciences; Natural Sciences; and Mathematics. For convenience, this document refers to this set of courses as BOG Core. The full regulation is </w:t>
      </w:r>
      <w:hyperlink r:id="rId4">
        <w:r>
          <w:rPr>
            <w:color w:val="1155CC"/>
            <w:u w:val="single"/>
          </w:rPr>
          <w:t>here</w:t>
        </w:r>
      </w:hyperlink>
      <w:r>
        <w:rPr>
          <w:color w:val="222222"/>
        </w:rPr>
        <w:t>.  In addition to these courses that the BOG has designated as Gen Ed Core, the BOG further mandates that:</w:t>
      </w:r>
    </w:p>
    <w:p w14:paraId="00000011" w14:textId="77777777" w:rsidR="00601B3D" w:rsidRDefault="00601B3D">
      <w:pPr>
        <w:shd w:val="clear" w:color="auto" w:fill="FFFFFF"/>
        <w:rPr>
          <w:color w:val="222222"/>
        </w:rPr>
      </w:pPr>
    </w:p>
    <w:p w14:paraId="00000012" w14:textId="77777777" w:rsidR="00601B3D" w:rsidRDefault="00000000">
      <w:pPr>
        <w:shd w:val="clear" w:color="auto" w:fill="FFFFFF"/>
        <w:rPr>
          <w:rFonts w:ascii="Calibri" w:eastAsia="Calibri" w:hAnsi="Calibri" w:cs="Calibri"/>
          <w:color w:val="222222"/>
          <w:sz w:val="24"/>
          <w:szCs w:val="24"/>
        </w:rPr>
      </w:pPr>
      <w:r>
        <w:rPr>
          <w:color w:val="222222"/>
        </w:rPr>
        <w:t>“</w:t>
      </w:r>
      <w:r>
        <w:rPr>
          <w:rFonts w:ascii="Calibri" w:eastAsia="Calibri" w:hAnsi="Calibri" w:cs="Calibri"/>
          <w:color w:val="222222"/>
          <w:sz w:val="24"/>
          <w:szCs w:val="24"/>
        </w:rPr>
        <w:t>The remaining courses and credits that will fulfill the total 36-hour general education requirement are at the discretion of the state university.”</w:t>
      </w:r>
    </w:p>
    <w:p w14:paraId="00000013" w14:textId="77777777" w:rsidR="00601B3D" w:rsidRDefault="00601B3D">
      <w:pPr>
        <w:shd w:val="clear" w:color="auto" w:fill="FFFFFF"/>
        <w:rPr>
          <w:rFonts w:ascii="Calibri" w:eastAsia="Calibri" w:hAnsi="Calibri" w:cs="Calibri"/>
          <w:color w:val="222222"/>
          <w:sz w:val="24"/>
          <w:szCs w:val="24"/>
        </w:rPr>
      </w:pPr>
    </w:p>
    <w:p w14:paraId="00000014"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In order to be in compliance with BOG guidance for AY 24-25, NCF is required to adopt part (a) of the motion.</w:t>
      </w:r>
    </w:p>
    <w:p w14:paraId="00000015" w14:textId="77777777" w:rsidR="00601B3D" w:rsidRDefault="00601B3D">
      <w:pPr>
        <w:shd w:val="clear" w:color="auto" w:fill="FFFFFF"/>
        <w:rPr>
          <w:rFonts w:ascii="Calibri" w:eastAsia="Calibri" w:hAnsi="Calibri" w:cs="Calibri"/>
          <w:color w:val="222222"/>
          <w:sz w:val="24"/>
          <w:szCs w:val="24"/>
        </w:rPr>
      </w:pPr>
    </w:p>
    <w:p w14:paraId="00000016"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b/>
          <w:color w:val="222222"/>
          <w:sz w:val="24"/>
          <w:szCs w:val="24"/>
        </w:rPr>
        <w:t>Motion Part (b)</w:t>
      </w:r>
      <w:r>
        <w:rPr>
          <w:rFonts w:ascii="Calibri" w:eastAsia="Calibri" w:hAnsi="Calibri" w:cs="Calibri"/>
          <w:color w:val="222222"/>
          <w:sz w:val="24"/>
          <w:szCs w:val="24"/>
        </w:rPr>
        <w:t xml:space="preserve">: Each institution must submit a list of courses each year (beginning in 2024) that can meet the elective General Education Requirements at that institution in the following academic year (25-26). The external parts of the process begin in September, meaning we will need to complete an internal process before then. </w:t>
      </w:r>
    </w:p>
    <w:p w14:paraId="00000017" w14:textId="77777777" w:rsidR="00601B3D" w:rsidRDefault="00601B3D">
      <w:pPr>
        <w:shd w:val="clear" w:color="auto" w:fill="FFFFFF"/>
        <w:rPr>
          <w:rFonts w:ascii="Calibri" w:eastAsia="Calibri" w:hAnsi="Calibri" w:cs="Calibri"/>
          <w:color w:val="222222"/>
          <w:sz w:val="24"/>
          <w:szCs w:val="24"/>
        </w:rPr>
      </w:pPr>
    </w:p>
    <w:p w14:paraId="00000018"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 xml:space="preserve">The General Education subcommittee of the EPC and Vice Provost Thiessen have worked to balance President Corcoran’s desire for a General Education program with a Logos/Techne framework and a substantial shared first year experience; the Board of Governor’s </w:t>
      </w:r>
      <w:r>
        <w:rPr>
          <w:rFonts w:ascii="Calibri" w:eastAsia="Calibri" w:hAnsi="Calibri" w:cs="Calibri"/>
          <w:color w:val="222222"/>
          <w:sz w:val="24"/>
          <w:szCs w:val="24"/>
        </w:rPr>
        <w:lastRenderedPageBreak/>
        <w:t>requirements for 36 credits of General Education that includes core courses in five areas plus approved General Education Electives specific to each institution; and the requirements of New College’s existing Areas of Concentration. While significant work needs to be done and many details worked out before any plan can be implemented, the framework proposed above represents a serious and collaborative effort to balance all of these priorities. Some framework is necessary to use AY 24-25 to adequately plan for AY 25-26, including the creation of assessment mechanisms, and to assist in the determination of which courses should be proposed as filling NCF’s elective Gen Ed requirements.</w:t>
      </w:r>
    </w:p>
    <w:p w14:paraId="00000019" w14:textId="77777777" w:rsidR="00601B3D" w:rsidRDefault="00601B3D">
      <w:pPr>
        <w:shd w:val="clear" w:color="auto" w:fill="FFFFFF"/>
        <w:rPr>
          <w:rFonts w:ascii="Calibri" w:eastAsia="Calibri" w:hAnsi="Calibri" w:cs="Calibri"/>
          <w:color w:val="222222"/>
          <w:sz w:val="24"/>
          <w:szCs w:val="24"/>
        </w:rPr>
      </w:pPr>
    </w:p>
    <w:p w14:paraId="0000001A"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The external process for approving additional General Education courses (</w:t>
      </w:r>
      <w:hyperlink r:id="rId5">
        <w:r>
          <w:rPr>
            <w:rFonts w:ascii="Calibri" w:eastAsia="Calibri" w:hAnsi="Calibri" w:cs="Calibri"/>
            <w:color w:val="1155CC"/>
            <w:sz w:val="24"/>
            <w:szCs w:val="24"/>
            <w:u w:val="single"/>
          </w:rPr>
          <w:t>Regulation 8.005</w:t>
        </w:r>
      </w:hyperlink>
      <w:r>
        <w:rPr>
          <w:rFonts w:ascii="Calibri" w:eastAsia="Calibri" w:hAnsi="Calibri" w:cs="Calibri"/>
          <w:color w:val="222222"/>
          <w:sz w:val="24"/>
          <w:szCs w:val="24"/>
        </w:rPr>
        <w:t>) is as follows:</w:t>
      </w:r>
    </w:p>
    <w:p w14:paraId="0000001B" w14:textId="77777777" w:rsidR="00601B3D" w:rsidRDefault="00601B3D">
      <w:pPr>
        <w:shd w:val="clear" w:color="auto" w:fill="FFFFFF"/>
        <w:rPr>
          <w:rFonts w:ascii="Calibri" w:eastAsia="Calibri" w:hAnsi="Calibri" w:cs="Calibri"/>
          <w:color w:val="222222"/>
          <w:sz w:val="24"/>
          <w:szCs w:val="24"/>
        </w:rPr>
      </w:pPr>
    </w:p>
    <w:p w14:paraId="0000001C"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(a) Each State University System institution's board of trustees and president must</w:t>
      </w:r>
    </w:p>
    <w:p w14:paraId="0000001D"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annually review and approve, at a public meeting, the courses offered by the institution</w:t>
      </w:r>
    </w:p>
    <w:p w14:paraId="0000001E"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that meet general education course requirements in accordance with sections 1007.24,</w:t>
      </w:r>
    </w:p>
    <w:p w14:paraId="0000001F"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1007.25 and 1007.55, Florida Statutes.</w:t>
      </w:r>
    </w:p>
    <w:p w14:paraId="00000020"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(b) Each institution must submit its approved list of general education courses to the</w:t>
      </w:r>
    </w:p>
    <w:p w14:paraId="00000021"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Articulation Coordinating Committee no later than September 1 of each year [the previous academic year] by the course prefix and number in the Statewide Course Numbering System, including the institution’s course title, the general education distribution area, the course level, and the number of public postsecondary institutions that offer the course. The list must be</w:t>
      </w:r>
    </w:p>
    <w:p w14:paraId="00000022"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in a format prescribed by the Department of Education, Office of K-20 Articulation.</w:t>
      </w:r>
    </w:p>
    <w:p w14:paraId="00000023"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(c) The Articulation Coordinating Committee shall annually submit each institution’s</w:t>
      </w:r>
    </w:p>
    <w:p w14:paraId="00000024"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completed list of general education courses to the Board of Governors, along with the</w:t>
      </w:r>
    </w:p>
    <w:p w14:paraId="00000025"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statewide data elements required in section 1007.55, Florida Statutes, no later than</w:t>
      </w:r>
    </w:p>
    <w:p w14:paraId="00000026"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December 1 of each year.</w:t>
      </w:r>
    </w:p>
    <w:p w14:paraId="00000027"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(d) Beginning December 2024, and each year after, using the criteria for general</w:t>
      </w:r>
    </w:p>
    <w:p w14:paraId="00000028"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education course standards, principles, and content listed in section 1007.55, Florida</w:t>
      </w:r>
    </w:p>
    <w:p w14:paraId="00000029"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Statute, the Board of Governors will approve or reject each institution’s list of general</w:t>
      </w:r>
    </w:p>
    <w:p w14:paraId="0000002A"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education course offerings.</w:t>
      </w:r>
    </w:p>
    <w:p w14:paraId="0000002B"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1. If the Board of Governors rejects an institution’s list of courses, the reason(s) for the</w:t>
      </w:r>
    </w:p>
    <w:p w14:paraId="0000002C"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rejection will be provided in writing to the institution, including any specific courses that</w:t>
      </w:r>
    </w:p>
    <w:p w14:paraId="0000002D"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were found to be not in compliance with the statute.</w:t>
      </w:r>
    </w:p>
    <w:p w14:paraId="0000002E"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2. An institution whose list is rejected may resubmit its list to the Board of Governors</w:t>
      </w:r>
    </w:p>
    <w:p w14:paraId="0000002F"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for reconsideration at the next scheduled meeting. Until the new list is approved, the</w:t>
      </w:r>
    </w:p>
    <w:p w14:paraId="00000030"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institution must continue to offer courses from the prior approved list.</w:t>
      </w:r>
    </w:p>
    <w:p w14:paraId="00000031"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3. If an institution does not have a list of general education courses approved by the</w:t>
      </w:r>
    </w:p>
    <w:p w14:paraId="00000032"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Board of Governors prior to the Board of Governors awarding performance based</w:t>
      </w:r>
    </w:p>
    <w:p w14:paraId="00000033"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lastRenderedPageBreak/>
        <w:t>funding for the next fiscal year, the Board of Governors may withhold performance</w:t>
      </w:r>
    </w:p>
    <w:p w14:paraId="00000034"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funding until a list of general education courses meets the requirements and is</w:t>
      </w:r>
    </w:p>
    <w:p w14:paraId="00000035" w14:textId="77777777" w:rsidR="00601B3D" w:rsidRDefault="00000000">
      <w:pPr>
        <w:shd w:val="clear" w:color="auto" w:fill="FFFFFF"/>
        <w:rPr>
          <w:rFonts w:ascii="Calibri" w:eastAsia="Calibri" w:hAnsi="Calibri" w:cs="Calibri"/>
          <w:color w:val="222222"/>
          <w:sz w:val="24"/>
          <w:szCs w:val="24"/>
        </w:rPr>
      </w:pPr>
      <w:r>
        <w:rPr>
          <w:rFonts w:ascii="Calibri" w:eastAsia="Calibri" w:hAnsi="Calibri" w:cs="Calibri"/>
          <w:color w:val="222222"/>
          <w:sz w:val="24"/>
          <w:szCs w:val="24"/>
        </w:rPr>
        <w:t>approved by the Board of Governors.</w:t>
      </w:r>
    </w:p>
    <w:p w14:paraId="00000036" w14:textId="77777777" w:rsidR="00601B3D" w:rsidRDefault="00601B3D">
      <w:pPr>
        <w:shd w:val="clear" w:color="auto" w:fill="FFFFFF"/>
        <w:rPr>
          <w:rFonts w:ascii="Calibri" w:eastAsia="Calibri" w:hAnsi="Calibri" w:cs="Calibri"/>
          <w:color w:val="222222"/>
          <w:sz w:val="24"/>
          <w:szCs w:val="24"/>
        </w:rPr>
      </w:pPr>
    </w:p>
    <w:p w14:paraId="00000037" w14:textId="77777777" w:rsidR="00601B3D" w:rsidRDefault="00601B3D">
      <w:pPr>
        <w:shd w:val="clear" w:color="auto" w:fill="FFFFFF"/>
        <w:rPr>
          <w:rFonts w:ascii="Calibri" w:eastAsia="Calibri" w:hAnsi="Calibri" w:cs="Calibri"/>
          <w:color w:val="222222"/>
          <w:sz w:val="24"/>
          <w:szCs w:val="24"/>
        </w:rPr>
      </w:pPr>
    </w:p>
    <w:p w14:paraId="00000038" w14:textId="77777777" w:rsidR="00601B3D" w:rsidRDefault="00601B3D">
      <w:pPr>
        <w:shd w:val="clear" w:color="auto" w:fill="FFFFFF"/>
        <w:rPr>
          <w:color w:val="222222"/>
        </w:rPr>
      </w:pPr>
    </w:p>
    <w:p w14:paraId="00000039" w14:textId="77777777" w:rsidR="00601B3D" w:rsidRDefault="00601B3D">
      <w:pPr>
        <w:shd w:val="clear" w:color="auto" w:fill="FFFFFF"/>
        <w:rPr>
          <w:color w:val="222222"/>
        </w:rPr>
      </w:pPr>
    </w:p>
    <w:p w14:paraId="0000003A" w14:textId="77777777" w:rsidR="00601B3D" w:rsidRDefault="00601B3D">
      <w:pPr>
        <w:rPr>
          <w:i/>
          <w:color w:val="222222"/>
        </w:rPr>
      </w:pPr>
    </w:p>
    <w:p w14:paraId="0000003B" w14:textId="77777777" w:rsidR="00601B3D" w:rsidRDefault="00601B3D">
      <w:pPr>
        <w:rPr>
          <w:i/>
          <w:color w:val="222222"/>
        </w:rPr>
      </w:pPr>
    </w:p>
    <w:p w14:paraId="0000003C" w14:textId="77777777" w:rsidR="00601B3D" w:rsidRDefault="00601B3D"/>
    <w:sectPr w:rsidR="00601B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3D"/>
    <w:rsid w:val="00601B3D"/>
    <w:rsid w:val="00F4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3773091-87B8-D342-B94C-F984B0C9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lbog.edu/wp-content/uploads/2024/01/Regulation_8.005_FINAL.pdf" TargetMode="External"/><Relationship Id="rId4" Type="http://schemas.openxmlformats.org/officeDocument/2006/relationships/hyperlink" Target="https://www.flbog.edu/wp-content/uploads/2024/01/Regulation_8.005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2024-05-06T15:15:00Z</dcterms:created>
  <dcterms:modified xsi:type="dcterms:W3CDTF">2024-05-06T15:15:00Z</dcterms:modified>
</cp:coreProperties>
</file>