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1F8" w14:textId="0F1A6461" w:rsidR="006B552C" w:rsidRDefault="006B552C">
      <w:r>
        <w:t xml:space="preserve">During </w:t>
      </w:r>
      <w:r w:rsidR="001F700C">
        <w:t>the period from May 15, 2023 to May 2, 2023, Ne</w:t>
      </w:r>
      <w:r>
        <w:t xml:space="preserve">w College’s Institutional Review Board (IRB) reviewed </w:t>
      </w:r>
      <w:r w:rsidR="00085BEE">
        <w:t>41</w:t>
      </w:r>
      <w:r>
        <w:t xml:space="preserve"> new protocols: </w:t>
      </w:r>
      <w:r w:rsidR="00085BEE">
        <w:t>37</w:t>
      </w:r>
      <w:r>
        <w:t xml:space="preserve"> from student researchers and 4 from faculty. </w:t>
      </w:r>
      <w:r w:rsidR="00CE1A7E">
        <w:t>Details are reported in Table 1.</w:t>
      </w:r>
    </w:p>
    <w:p w14:paraId="0306DE5B" w14:textId="77777777" w:rsidR="006B552C" w:rsidRDefault="006B552C"/>
    <w:p w14:paraId="5A610F05" w14:textId="7E7CD665" w:rsidR="00CE1A7E" w:rsidRDefault="00CE1A7E" w:rsidP="00CE1A7E">
      <w:pPr>
        <w:spacing w:line="360" w:lineRule="auto"/>
        <w:rPr>
          <w:b/>
          <w:bCs/>
        </w:rPr>
      </w:pPr>
      <w:r>
        <w:rPr>
          <w:b/>
          <w:bCs/>
        </w:rPr>
        <w:t>Table 1</w:t>
      </w:r>
    </w:p>
    <w:p w14:paraId="570D7E2A" w14:textId="02898388" w:rsidR="006B552C" w:rsidRPr="00CE1A7E" w:rsidRDefault="006B552C" w:rsidP="00CE1A7E">
      <w:pPr>
        <w:spacing w:line="360" w:lineRule="auto"/>
        <w:rPr>
          <w:i/>
          <w:iCs/>
        </w:rPr>
      </w:pPr>
      <w:r w:rsidRPr="00CE1A7E">
        <w:rPr>
          <w:i/>
          <w:iCs/>
        </w:rPr>
        <w:t>Distribution of New Protocol Actions</w:t>
      </w:r>
    </w:p>
    <w:tbl>
      <w:tblPr>
        <w:tblW w:w="9515" w:type="dxa"/>
        <w:tblCellSpacing w:w="0" w:type="dxa"/>
        <w:tblBorders>
          <w:top w:val="single" w:sz="6" w:space="0" w:color="000000"/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940"/>
        <w:gridCol w:w="2632"/>
        <w:gridCol w:w="1922"/>
      </w:tblGrid>
      <w:tr w:rsidR="006B552C" w:rsidRPr="006B552C" w14:paraId="28645FC8" w14:textId="77777777" w:rsidTr="006B552C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BADEDCB" w14:textId="77777777" w:rsidR="006B552C" w:rsidRPr="006B552C" w:rsidRDefault="006B552C" w:rsidP="006B552C">
            <w:pPr>
              <w:rPr>
                <w:b/>
                <w:bCs/>
              </w:rPr>
            </w:pPr>
            <w:r w:rsidRPr="006B552C">
              <w:rPr>
                <w:b/>
                <w:bCs/>
              </w:rPr>
              <w:t>Status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A886B1A" w14:textId="77777777" w:rsidR="006B552C" w:rsidRPr="006B552C" w:rsidRDefault="006B552C" w:rsidP="00085BEE">
            <w:pPr>
              <w:jc w:val="center"/>
              <w:rPr>
                <w:b/>
                <w:bCs/>
              </w:rPr>
            </w:pPr>
            <w:r w:rsidRPr="006B552C">
              <w:rPr>
                <w:b/>
                <w:bCs/>
              </w:rPr>
              <w:t>Count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817C90" w14:textId="77777777" w:rsidR="006B552C" w:rsidRPr="006B552C" w:rsidRDefault="006B552C" w:rsidP="00085BEE">
            <w:pPr>
              <w:jc w:val="center"/>
              <w:rPr>
                <w:b/>
                <w:bCs/>
              </w:rPr>
            </w:pPr>
            <w:r w:rsidRPr="006B552C">
              <w:rPr>
                <w:b/>
                <w:bCs/>
              </w:rPr>
              <w:t>Student Protocols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894A263" w14:textId="77777777" w:rsidR="006B552C" w:rsidRPr="006B552C" w:rsidRDefault="006B552C" w:rsidP="00085BEE">
            <w:pPr>
              <w:jc w:val="center"/>
              <w:rPr>
                <w:b/>
                <w:bCs/>
              </w:rPr>
            </w:pPr>
            <w:r w:rsidRPr="006B552C">
              <w:rPr>
                <w:b/>
                <w:bCs/>
              </w:rPr>
              <w:t>Faculty/Staff</w:t>
            </w:r>
          </w:p>
        </w:tc>
      </w:tr>
      <w:tr w:rsidR="006B552C" w:rsidRPr="006B552C" w14:paraId="25E98863" w14:textId="77777777" w:rsidTr="006B552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B5340" w14:textId="77777777" w:rsidR="006B552C" w:rsidRPr="006B552C" w:rsidRDefault="006B552C" w:rsidP="006B552C">
            <w:r w:rsidRPr="006B552C">
              <w:t>Full Board Review Approved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57EB1" w14:textId="2FEA3140" w:rsidR="006B552C" w:rsidRPr="006B552C" w:rsidRDefault="001F700C" w:rsidP="001F700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A07DE" w14:textId="58EE6257" w:rsidR="006B552C" w:rsidRPr="006B552C" w:rsidRDefault="001F700C" w:rsidP="001F700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CB900" w14:textId="3BCA83EE" w:rsidR="006B552C" w:rsidRPr="006B552C" w:rsidRDefault="001F700C" w:rsidP="001F700C">
            <w:pPr>
              <w:jc w:val="center"/>
            </w:pPr>
            <w:r>
              <w:t>2</w:t>
            </w:r>
          </w:p>
        </w:tc>
      </w:tr>
      <w:tr w:rsidR="006B552C" w:rsidRPr="006B552C" w14:paraId="77E5B292" w14:textId="77777777" w:rsidTr="006B552C">
        <w:trPr>
          <w:tblCellSpacing w:w="0" w:type="dxa"/>
        </w:trPr>
        <w:tc>
          <w:tcPr>
            <w:tcW w:w="0" w:type="auto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20D05" w14:textId="77777777" w:rsidR="006B552C" w:rsidRPr="006B552C" w:rsidRDefault="006B552C" w:rsidP="006B552C">
            <w:r w:rsidRPr="006B552C">
              <w:t>Exemption Review Verified</w:t>
            </w:r>
          </w:p>
        </w:tc>
        <w:tc>
          <w:tcPr>
            <w:tcW w:w="0" w:type="auto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A1E22" w14:textId="3D9D2488" w:rsidR="006B552C" w:rsidRPr="006B552C" w:rsidRDefault="006B552C" w:rsidP="001F700C">
            <w:pPr>
              <w:jc w:val="center"/>
            </w:pPr>
            <w:r w:rsidRPr="006B552C">
              <w:t>1</w:t>
            </w:r>
            <w:r w:rsidR="001F700C">
              <w:t>6</w:t>
            </w:r>
          </w:p>
        </w:tc>
        <w:tc>
          <w:tcPr>
            <w:tcW w:w="0" w:type="auto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2C35D" w14:textId="5F4B60BF" w:rsidR="006B552C" w:rsidRPr="006B552C" w:rsidRDefault="006B552C" w:rsidP="001F700C">
            <w:pPr>
              <w:jc w:val="center"/>
            </w:pPr>
            <w:r w:rsidRPr="006B552C">
              <w:t>1</w:t>
            </w:r>
            <w:r w:rsidR="001F700C">
              <w:t>4</w:t>
            </w:r>
          </w:p>
        </w:tc>
        <w:tc>
          <w:tcPr>
            <w:tcW w:w="0" w:type="auto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D856D" w14:textId="77777777" w:rsidR="006B552C" w:rsidRPr="006B552C" w:rsidRDefault="006B552C" w:rsidP="001F700C">
            <w:pPr>
              <w:jc w:val="center"/>
            </w:pPr>
            <w:r w:rsidRPr="006B552C">
              <w:t>2</w:t>
            </w:r>
          </w:p>
        </w:tc>
      </w:tr>
      <w:tr w:rsidR="006B552C" w:rsidRPr="006B552C" w14:paraId="3C7AE576" w14:textId="77777777" w:rsidTr="006B552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08C4A" w14:textId="77777777" w:rsidR="006B552C" w:rsidRPr="006B552C" w:rsidRDefault="006B552C" w:rsidP="006B552C">
            <w:r w:rsidRPr="006B552C">
              <w:t>Expedited Review Approved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2D976" w14:textId="01BFA6A8" w:rsidR="006B552C" w:rsidRPr="006B552C" w:rsidRDefault="001F700C" w:rsidP="001F700C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D50E5" w14:textId="39D41A8E" w:rsidR="006B552C" w:rsidRPr="006B552C" w:rsidRDefault="001F700C" w:rsidP="001F700C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5308A" w14:textId="6D7F5E9E" w:rsidR="006B552C" w:rsidRPr="006B552C" w:rsidRDefault="001F700C" w:rsidP="001F700C">
            <w:pPr>
              <w:jc w:val="center"/>
            </w:pPr>
            <w:r>
              <w:t>0</w:t>
            </w:r>
          </w:p>
        </w:tc>
      </w:tr>
      <w:tr w:rsidR="006B552C" w:rsidRPr="006B552C" w14:paraId="70F5804A" w14:textId="77777777" w:rsidTr="006B552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18BE2" w14:textId="77777777" w:rsidR="006B552C" w:rsidRPr="006B552C" w:rsidRDefault="006B552C" w:rsidP="006B552C">
            <w:pPr>
              <w:rPr>
                <w:b/>
                <w:bCs/>
              </w:rPr>
            </w:pPr>
            <w:r w:rsidRPr="006B552C">
              <w:rPr>
                <w:b/>
                <w:bCs/>
              </w:rPr>
              <w:t>Totals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03F8F" w14:textId="3AA31257" w:rsidR="006B552C" w:rsidRPr="006B552C" w:rsidRDefault="001F700C" w:rsidP="001F7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31E81" w14:textId="2D8C52C9" w:rsidR="006B552C" w:rsidRPr="006B552C" w:rsidRDefault="001F700C" w:rsidP="001F7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5EE44" w14:textId="77777777" w:rsidR="006B552C" w:rsidRPr="006B552C" w:rsidRDefault="006B552C" w:rsidP="001F700C">
            <w:pPr>
              <w:jc w:val="center"/>
              <w:rPr>
                <w:b/>
                <w:bCs/>
              </w:rPr>
            </w:pPr>
            <w:r w:rsidRPr="006B552C">
              <w:rPr>
                <w:b/>
                <w:bCs/>
              </w:rPr>
              <w:t>4</w:t>
            </w:r>
          </w:p>
        </w:tc>
      </w:tr>
    </w:tbl>
    <w:p w14:paraId="6568BB34" w14:textId="32110136" w:rsidR="006B552C" w:rsidRDefault="006B552C"/>
    <w:p w14:paraId="51684038" w14:textId="7EC5FD13" w:rsidR="006B552C" w:rsidRDefault="006B552C">
      <w:r>
        <w:t>In addition to new protocol reviews, the IRB was responsible for reviewing a number of continuing reviews and modifications</w:t>
      </w:r>
      <w:r w:rsidR="00CE1A7E">
        <w:t>, as reported in Table 2.</w:t>
      </w:r>
    </w:p>
    <w:p w14:paraId="6348C0D0" w14:textId="3D65A706" w:rsidR="006B552C" w:rsidRDefault="006B552C" w:rsidP="006B552C">
      <w:pPr>
        <w:rPr>
          <w:b/>
          <w:bCs/>
        </w:rPr>
      </w:pPr>
    </w:p>
    <w:p w14:paraId="16A3A4EF" w14:textId="025CD62D" w:rsidR="00CE1A7E" w:rsidRDefault="00CE1A7E" w:rsidP="00CE1A7E">
      <w:pPr>
        <w:spacing w:line="360" w:lineRule="auto"/>
        <w:rPr>
          <w:b/>
          <w:bCs/>
        </w:rPr>
      </w:pPr>
      <w:r>
        <w:rPr>
          <w:b/>
          <w:bCs/>
        </w:rPr>
        <w:t>Table 2</w:t>
      </w:r>
    </w:p>
    <w:p w14:paraId="02FC4368" w14:textId="744D69AC" w:rsidR="00CE1A7E" w:rsidRPr="006B552C" w:rsidRDefault="00CE1A7E" w:rsidP="00CE1A7E">
      <w:pPr>
        <w:spacing w:line="360" w:lineRule="auto"/>
        <w:rPr>
          <w:b/>
          <w:bCs/>
        </w:rPr>
      </w:pPr>
      <w:r>
        <w:rPr>
          <w:i/>
          <w:iCs/>
        </w:rPr>
        <w:t>Continuing Reviews</w:t>
      </w:r>
      <w:r w:rsidR="002A259C">
        <w:rPr>
          <w:i/>
          <w:iCs/>
        </w:rPr>
        <w:t xml:space="preserve"> and Modifications</w:t>
      </w:r>
    </w:p>
    <w:tbl>
      <w:tblPr>
        <w:tblW w:w="5000" w:type="pct"/>
        <w:tblCellSpacing w:w="0" w:type="dxa"/>
        <w:tblBorders>
          <w:top w:val="single" w:sz="6" w:space="0" w:color="000000"/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9"/>
        <w:gridCol w:w="2261"/>
      </w:tblGrid>
      <w:tr w:rsidR="006B552C" w:rsidRPr="006B552C" w14:paraId="7D1D9359" w14:textId="77777777" w:rsidTr="006B552C">
        <w:trPr>
          <w:tblCellSpacing w:w="0" w:type="dxa"/>
        </w:trPr>
        <w:tc>
          <w:tcPr>
            <w:tcW w:w="3792" w:type="pct"/>
            <w:tcBorders>
              <w:bottom w:val="single" w:sz="6" w:space="0" w:color="000000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919DA3A" w14:textId="77777777" w:rsidR="006B552C" w:rsidRPr="006B552C" w:rsidRDefault="006B552C" w:rsidP="006B552C">
            <w:pPr>
              <w:rPr>
                <w:b/>
                <w:bCs/>
              </w:rPr>
            </w:pPr>
            <w:r w:rsidRPr="006B552C">
              <w:rPr>
                <w:b/>
                <w:bCs/>
              </w:rPr>
              <w:t>Status</w:t>
            </w:r>
          </w:p>
        </w:tc>
        <w:tc>
          <w:tcPr>
            <w:tcW w:w="1208" w:type="pct"/>
            <w:tcBorders>
              <w:bottom w:val="single" w:sz="6" w:space="0" w:color="000000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FD5EE22" w14:textId="77777777" w:rsidR="006B552C" w:rsidRPr="006B552C" w:rsidRDefault="006B552C" w:rsidP="00085BEE">
            <w:pPr>
              <w:jc w:val="center"/>
              <w:rPr>
                <w:b/>
                <w:bCs/>
              </w:rPr>
            </w:pPr>
            <w:r w:rsidRPr="006B552C">
              <w:rPr>
                <w:b/>
                <w:bCs/>
              </w:rPr>
              <w:t>Count</w:t>
            </w:r>
          </w:p>
        </w:tc>
      </w:tr>
      <w:tr w:rsidR="002A259C" w:rsidRPr="006B552C" w14:paraId="7610EE2C" w14:textId="77777777" w:rsidTr="002A259C">
        <w:trPr>
          <w:tblCellSpacing w:w="0" w:type="dxa"/>
        </w:trPr>
        <w:tc>
          <w:tcPr>
            <w:tcW w:w="379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559FFB" w14:textId="2BC683CA" w:rsidR="002A259C" w:rsidRPr="00CC599F" w:rsidRDefault="002A259C" w:rsidP="006B552C">
            <w:pPr>
              <w:rPr>
                <w:b/>
                <w:bCs/>
              </w:rPr>
            </w:pPr>
            <w:r>
              <w:rPr>
                <w:b/>
                <w:bCs/>
              </w:rPr>
              <w:t>Continuing Reviews</w:t>
            </w:r>
          </w:p>
        </w:tc>
        <w:tc>
          <w:tcPr>
            <w:tcW w:w="120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E74A0E" w14:textId="77777777" w:rsidR="002A259C" w:rsidRDefault="002A259C" w:rsidP="00085BEE">
            <w:pPr>
              <w:jc w:val="center"/>
            </w:pPr>
          </w:p>
        </w:tc>
      </w:tr>
      <w:tr w:rsidR="006B552C" w:rsidRPr="006B552C" w14:paraId="36D2C87A" w14:textId="77777777" w:rsidTr="006B552C">
        <w:trPr>
          <w:tblCellSpacing w:w="0" w:type="dxa"/>
        </w:trPr>
        <w:tc>
          <w:tcPr>
            <w:tcW w:w="3792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C4435" w14:textId="77777777" w:rsidR="006B552C" w:rsidRPr="002A259C" w:rsidRDefault="006B552C" w:rsidP="006B552C">
            <w:r w:rsidRPr="002A259C">
              <w:t>Continued</w:t>
            </w:r>
          </w:p>
        </w:tc>
        <w:tc>
          <w:tcPr>
            <w:tcW w:w="1208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181F0" w14:textId="62ABB194" w:rsidR="006B552C" w:rsidRPr="006B552C" w:rsidRDefault="00085BEE" w:rsidP="00085BEE">
            <w:pPr>
              <w:jc w:val="center"/>
            </w:pPr>
            <w:r>
              <w:t>7</w:t>
            </w:r>
          </w:p>
        </w:tc>
      </w:tr>
      <w:tr w:rsidR="006B552C" w:rsidRPr="006B552C" w14:paraId="503FB150" w14:textId="77777777" w:rsidTr="006B552C">
        <w:trPr>
          <w:tblCellSpacing w:w="0" w:type="dxa"/>
        </w:trPr>
        <w:tc>
          <w:tcPr>
            <w:tcW w:w="3792" w:type="pct"/>
            <w:shd w:val="clear" w:color="auto" w:fill="FFFFFF"/>
            <w:tcMar>
              <w:top w:w="30" w:type="dxa"/>
              <w:left w:w="300" w:type="dxa"/>
              <w:bottom w:w="30" w:type="dxa"/>
              <w:right w:w="30" w:type="dxa"/>
            </w:tcMar>
            <w:hideMark/>
          </w:tcPr>
          <w:p w14:paraId="4F61C690" w14:textId="77777777" w:rsidR="006B552C" w:rsidRPr="006B552C" w:rsidRDefault="006B552C" w:rsidP="006B552C">
            <w:r w:rsidRPr="006B552C">
              <w:t>Approved</w:t>
            </w:r>
          </w:p>
        </w:tc>
        <w:tc>
          <w:tcPr>
            <w:tcW w:w="120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B5EC5" w14:textId="75EC32C0" w:rsidR="006B552C" w:rsidRPr="006B552C" w:rsidRDefault="00085BEE" w:rsidP="00085BEE">
            <w:pPr>
              <w:jc w:val="center"/>
            </w:pPr>
            <w:r>
              <w:t>7</w:t>
            </w:r>
          </w:p>
        </w:tc>
      </w:tr>
      <w:tr w:rsidR="006B552C" w:rsidRPr="006B552C" w14:paraId="57521758" w14:textId="77777777" w:rsidTr="006B552C">
        <w:trPr>
          <w:tblCellSpacing w:w="0" w:type="dxa"/>
        </w:trPr>
        <w:tc>
          <w:tcPr>
            <w:tcW w:w="3792" w:type="pct"/>
            <w:shd w:val="clear" w:color="auto" w:fill="E0E0E0"/>
            <w:tcMar>
              <w:top w:w="30" w:type="dxa"/>
              <w:left w:w="600" w:type="dxa"/>
              <w:bottom w:w="30" w:type="dxa"/>
              <w:right w:w="30" w:type="dxa"/>
            </w:tcMar>
            <w:hideMark/>
          </w:tcPr>
          <w:p w14:paraId="36822CBE" w14:textId="77777777" w:rsidR="006B552C" w:rsidRPr="006B552C" w:rsidRDefault="006B552C" w:rsidP="006B552C">
            <w:r w:rsidRPr="006B552C">
              <w:t>Full Board</w:t>
            </w:r>
          </w:p>
        </w:tc>
        <w:tc>
          <w:tcPr>
            <w:tcW w:w="1208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B5754" w14:textId="704FC886" w:rsidR="006B552C" w:rsidRPr="006B552C" w:rsidRDefault="00085BEE" w:rsidP="00085BEE">
            <w:pPr>
              <w:jc w:val="center"/>
            </w:pPr>
            <w:r>
              <w:t>4</w:t>
            </w:r>
          </w:p>
        </w:tc>
      </w:tr>
      <w:tr w:rsidR="006B552C" w:rsidRPr="006B552C" w14:paraId="5359ACD2" w14:textId="77777777" w:rsidTr="006B552C">
        <w:trPr>
          <w:tblCellSpacing w:w="0" w:type="dxa"/>
        </w:trPr>
        <w:tc>
          <w:tcPr>
            <w:tcW w:w="3792" w:type="pct"/>
            <w:shd w:val="clear" w:color="auto" w:fill="FFFFFF"/>
            <w:tcMar>
              <w:top w:w="30" w:type="dxa"/>
              <w:left w:w="600" w:type="dxa"/>
              <w:bottom w:w="30" w:type="dxa"/>
              <w:right w:w="30" w:type="dxa"/>
            </w:tcMar>
            <w:hideMark/>
          </w:tcPr>
          <w:p w14:paraId="03565F0B" w14:textId="77777777" w:rsidR="006B552C" w:rsidRPr="006B552C" w:rsidRDefault="006B552C" w:rsidP="006B552C">
            <w:r w:rsidRPr="006B552C">
              <w:t>Expedited</w:t>
            </w:r>
          </w:p>
        </w:tc>
        <w:tc>
          <w:tcPr>
            <w:tcW w:w="120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8D4D5" w14:textId="2CDBA2CA" w:rsidR="006B552C" w:rsidRPr="006B552C" w:rsidRDefault="00085BEE" w:rsidP="00085BEE">
            <w:pPr>
              <w:jc w:val="center"/>
            </w:pPr>
            <w:r>
              <w:t>3</w:t>
            </w:r>
          </w:p>
        </w:tc>
      </w:tr>
      <w:tr w:rsidR="006B552C" w:rsidRPr="006B552C" w14:paraId="334F2CD9" w14:textId="77777777" w:rsidTr="006B552C">
        <w:trPr>
          <w:tblCellSpacing w:w="0" w:type="dxa"/>
        </w:trPr>
        <w:tc>
          <w:tcPr>
            <w:tcW w:w="3792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7CC08" w14:textId="77777777" w:rsidR="006B552C" w:rsidRPr="002A259C" w:rsidRDefault="006B552C" w:rsidP="006B552C">
            <w:r w:rsidRPr="002A259C">
              <w:t>Terminated</w:t>
            </w:r>
          </w:p>
        </w:tc>
        <w:tc>
          <w:tcPr>
            <w:tcW w:w="1208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B1D49" w14:textId="379F2259" w:rsidR="006B552C" w:rsidRPr="006B552C" w:rsidRDefault="00085BEE" w:rsidP="00085BEE">
            <w:pPr>
              <w:jc w:val="center"/>
            </w:pPr>
            <w:r>
              <w:t>42</w:t>
            </w:r>
          </w:p>
        </w:tc>
      </w:tr>
      <w:tr w:rsidR="006B552C" w:rsidRPr="006B552C" w14:paraId="3574B440" w14:textId="77777777" w:rsidTr="006B552C">
        <w:trPr>
          <w:tblCellSpacing w:w="0" w:type="dxa"/>
        </w:trPr>
        <w:tc>
          <w:tcPr>
            <w:tcW w:w="3792" w:type="pct"/>
            <w:shd w:val="clear" w:color="auto" w:fill="FFFFFF"/>
            <w:tcMar>
              <w:top w:w="30" w:type="dxa"/>
              <w:left w:w="300" w:type="dxa"/>
              <w:bottom w:w="30" w:type="dxa"/>
              <w:right w:w="30" w:type="dxa"/>
            </w:tcMar>
            <w:hideMark/>
          </w:tcPr>
          <w:p w14:paraId="7F784490" w14:textId="77777777" w:rsidR="006B552C" w:rsidRPr="006B552C" w:rsidRDefault="006B552C" w:rsidP="006B552C">
            <w:r w:rsidRPr="006B552C">
              <w:t>Approved</w:t>
            </w:r>
          </w:p>
        </w:tc>
        <w:tc>
          <w:tcPr>
            <w:tcW w:w="120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B504F" w14:textId="6EF58A48" w:rsidR="006B552C" w:rsidRPr="006B552C" w:rsidRDefault="001F700C" w:rsidP="00085BEE">
            <w:pPr>
              <w:jc w:val="center"/>
            </w:pPr>
            <w:r>
              <w:t>3</w:t>
            </w:r>
            <w:r w:rsidR="00085BEE">
              <w:t>3</w:t>
            </w:r>
          </w:p>
        </w:tc>
      </w:tr>
      <w:tr w:rsidR="006B552C" w:rsidRPr="006B552C" w14:paraId="24BB6D0B" w14:textId="77777777" w:rsidTr="006B552C">
        <w:trPr>
          <w:tblCellSpacing w:w="0" w:type="dxa"/>
        </w:trPr>
        <w:tc>
          <w:tcPr>
            <w:tcW w:w="3792" w:type="pct"/>
            <w:shd w:val="clear" w:color="auto" w:fill="E0E0E0"/>
            <w:tcMar>
              <w:top w:w="30" w:type="dxa"/>
              <w:left w:w="600" w:type="dxa"/>
              <w:bottom w:w="30" w:type="dxa"/>
              <w:right w:w="30" w:type="dxa"/>
            </w:tcMar>
            <w:hideMark/>
          </w:tcPr>
          <w:p w14:paraId="5933D503" w14:textId="77777777" w:rsidR="006B552C" w:rsidRPr="006B552C" w:rsidRDefault="006B552C" w:rsidP="006B552C">
            <w:r w:rsidRPr="006B552C">
              <w:t>Full Board</w:t>
            </w:r>
          </w:p>
        </w:tc>
        <w:tc>
          <w:tcPr>
            <w:tcW w:w="1208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FC528" w14:textId="2F472B57" w:rsidR="006B552C" w:rsidRPr="006B552C" w:rsidRDefault="006B552C" w:rsidP="00085BEE">
            <w:pPr>
              <w:jc w:val="center"/>
            </w:pPr>
            <w:r w:rsidRPr="006B552C">
              <w:t>2</w:t>
            </w:r>
            <w:r w:rsidR="001F700C">
              <w:t>3</w:t>
            </w:r>
          </w:p>
        </w:tc>
      </w:tr>
      <w:tr w:rsidR="006B552C" w:rsidRPr="006B552C" w14:paraId="6710DC64" w14:textId="77777777" w:rsidTr="006B552C">
        <w:trPr>
          <w:tblCellSpacing w:w="0" w:type="dxa"/>
        </w:trPr>
        <w:tc>
          <w:tcPr>
            <w:tcW w:w="3792" w:type="pct"/>
            <w:shd w:val="clear" w:color="auto" w:fill="FFFFFF"/>
            <w:tcMar>
              <w:top w:w="30" w:type="dxa"/>
              <w:left w:w="600" w:type="dxa"/>
              <w:bottom w:w="30" w:type="dxa"/>
              <w:right w:w="30" w:type="dxa"/>
            </w:tcMar>
            <w:hideMark/>
          </w:tcPr>
          <w:p w14:paraId="45530CD9" w14:textId="77777777" w:rsidR="006B552C" w:rsidRPr="006B552C" w:rsidRDefault="006B552C" w:rsidP="006B552C">
            <w:r w:rsidRPr="006B552C">
              <w:t>Expedited</w:t>
            </w:r>
          </w:p>
        </w:tc>
        <w:tc>
          <w:tcPr>
            <w:tcW w:w="120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0B01C" w14:textId="65EA5EE2" w:rsidR="006B552C" w:rsidRPr="006B552C" w:rsidRDefault="001F700C" w:rsidP="00085BEE">
            <w:pPr>
              <w:jc w:val="center"/>
            </w:pPr>
            <w:r>
              <w:t>9</w:t>
            </w:r>
          </w:p>
        </w:tc>
      </w:tr>
      <w:tr w:rsidR="006B552C" w:rsidRPr="006B552C" w14:paraId="09114A18" w14:textId="77777777" w:rsidTr="006B552C">
        <w:trPr>
          <w:tblCellSpacing w:w="0" w:type="dxa"/>
        </w:trPr>
        <w:tc>
          <w:tcPr>
            <w:tcW w:w="3792" w:type="pct"/>
            <w:shd w:val="clear" w:color="auto" w:fill="E0E0E0"/>
            <w:tcMar>
              <w:top w:w="30" w:type="dxa"/>
              <w:left w:w="600" w:type="dxa"/>
              <w:bottom w:w="30" w:type="dxa"/>
              <w:right w:w="30" w:type="dxa"/>
            </w:tcMar>
            <w:hideMark/>
          </w:tcPr>
          <w:p w14:paraId="0CE3C757" w14:textId="77777777" w:rsidR="006B552C" w:rsidRPr="006B552C" w:rsidRDefault="006B552C" w:rsidP="006B552C">
            <w:r w:rsidRPr="006B552C">
              <w:t>Acknowledged</w:t>
            </w:r>
          </w:p>
        </w:tc>
        <w:tc>
          <w:tcPr>
            <w:tcW w:w="1208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3145F" w14:textId="18CB9794" w:rsidR="006B552C" w:rsidRPr="006B552C" w:rsidRDefault="001F700C" w:rsidP="00085BEE">
            <w:pPr>
              <w:jc w:val="center"/>
            </w:pPr>
            <w:r>
              <w:t>1</w:t>
            </w:r>
          </w:p>
        </w:tc>
      </w:tr>
      <w:tr w:rsidR="006B552C" w:rsidRPr="006B552C" w14:paraId="7698535B" w14:textId="77777777" w:rsidTr="006B552C">
        <w:trPr>
          <w:tblCellSpacing w:w="0" w:type="dxa"/>
        </w:trPr>
        <w:tc>
          <w:tcPr>
            <w:tcW w:w="3792" w:type="pct"/>
            <w:shd w:val="clear" w:color="auto" w:fill="FFFFFF"/>
            <w:tcMar>
              <w:top w:w="30" w:type="dxa"/>
              <w:left w:w="300" w:type="dxa"/>
              <w:bottom w:w="30" w:type="dxa"/>
              <w:right w:w="30" w:type="dxa"/>
            </w:tcMar>
            <w:hideMark/>
          </w:tcPr>
          <w:p w14:paraId="77543C6E" w14:textId="77777777" w:rsidR="006B552C" w:rsidRPr="006B552C" w:rsidRDefault="006B552C" w:rsidP="006B552C">
            <w:r w:rsidRPr="006B552C">
              <w:t>Acknowledged</w:t>
            </w:r>
          </w:p>
        </w:tc>
        <w:tc>
          <w:tcPr>
            <w:tcW w:w="120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F2D43" w14:textId="16174A32" w:rsidR="006B552C" w:rsidRPr="006B552C" w:rsidRDefault="001F700C" w:rsidP="00085BEE">
            <w:pPr>
              <w:jc w:val="center"/>
            </w:pPr>
            <w:r>
              <w:t>9</w:t>
            </w:r>
          </w:p>
        </w:tc>
      </w:tr>
      <w:tr w:rsidR="006B552C" w:rsidRPr="006B552C" w14:paraId="6A626347" w14:textId="77777777" w:rsidTr="006B552C">
        <w:trPr>
          <w:tblCellSpacing w:w="0" w:type="dxa"/>
        </w:trPr>
        <w:tc>
          <w:tcPr>
            <w:tcW w:w="3792" w:type="pct"/>
            <w:shd w:val="clear" w:color="auto" w:fill="E0E0E0"/>
            <w:tcMar>
              <w:top w:w="30" w:type="dxa"/>
              <w:left w:w="600" w:type="dxa"/>
              <w:bottom w:w="30" w:type="dxa"/>
              <w:right w:w="30" w:type="dxa"/>
            </w:tcMar>
            <w:hideMark/>
          </w:tcPr>
          <w:p w14:paraId="4CC2B92D" w14:textId="77777777" w:rsidR="006B552C" w:rsidRPr="006B552C" w:rsidRDefault="006B552C" w:rsidP="006B552C">
            <w:r w:rsidRPr="006B552C">
              <w:t>Expedited</w:t>
            </w:r>
          </w:p>
        </w:tc>
        <w:tc>
          <w:tcPr>
            <w:tcW w:w="1208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6DB92" w14:textId="310E07DB" w:rsidR="006B552C" w:rsidRPr="006B552C" w:rsidRDefault="001F700C" w:rsidP="00085BEE">
            <w:pPr>
              <w:jc w:val="center"/>
            </w:pPr>
            <w:r>
              <w:t>1</w:t>
            </w:r>
          </w:p>
        </w:tc>
      </w:tr>
      <w:tr w:rsidR="004A75CF" w:rsidRPr="006B552C" w14:paraId="22436EB1" w14:textId="77777777" w:rsidTr="004A75CF">
        <w:trPr>
          <w:tblCellSpacing w:w="0" w:type="dxa"/>
        </w:trPr>
        <w:tc>
          <w:tcPr>
            <w:tcW w:w="3792" w:type="pct"/>
            <w:shd w:val="clear" w:color="auto" w:fill="auto"/>
            <w:tcMar>
              <w:top w:w="30" w:type="dxa"/>
              <w:left w:w="600" w:type="dxa"/>
              <w:bottom w:w="30" w:type="dxa"/>
              <w:right w:w="30" w:type="dxa"/>
            </w:tcMar>
          </w:tcPr>
          <w:p w14:paraId="20B2D308" w14:textId="29A95578" w:rsidR="004A75CF" w:rsidRPr="006B552C" w:rsidRDefault="004A75CF" w:rsidP="006B552C">
            <w:r>
              <w:t>Acknowledged</w:t>
            </w:r>
          </w:p>
        </w:tc>
        <w:tc>
          <w:tcPr>
            <w:tcW w:w="120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56A6A3" w14:textId="437D4110" w:rsidR="004A75CF" w:rsidRDefault="004A75CF" w:rsidP="00085BEE">
            <w:pPr>
              <w:jc w:val="center"/>
            </w:pPr>
            <w:r>
              <w:t>8</w:t>
            </w:r>
          </w:p>
        </w:tc>
      </w:tr>
      <w:tr w:rsidR="00CC599F" w:rsidRPr="006B552C" w14:paraId="71A69ACC" w14:textId="77777777" w:rsidTr="00B41C71">
        <w:trPr>
          <w:tblCellSpacing w:w="0" w:type="dxa"/>
        </w:trPr>
        <w:tc>
          <w:tcPr>
            <w:tcW w:w="3792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ECBB0" w14:textId="66CCCC3D" w:rsidR="00CC599F" w:rsidRPr="00CC599F" w:rsidRDefault="00CC599F" w:rsidP="00B41C71">
            <w:pPr>
              <w:rPr>
                <w:b/>
                <w:bCs/>
              </w:rPr>
            </w:pPr>
            <w:r>
              <w:rPr>
                <w:b/>
                <w:bCs/>
              </w:rPr>
              <w:t>Modifications</w:t>
            </w:r>
          </w:p>
        </w:tc>
        <w:tc>
          <w:tcPr>
            <w:tcW w:w="1208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8F973" w14:textId="2A3AD375" w:rsidR="00CC599F" w:rsidRPr="006B552C" w:rsidRDefault="00CC599F" w:rsidP="00B41C71">
            <w:pPr>
              <w:jc w:val="center"/>
            </w:pPr>
          </w:p>
        </w:tc>
      </w:tr>
      <w:tr w:rsidR="00CC599F" w:rsidRPr="006B552C" w14:paraId="09A05640" w14:textId="77777777" w:rsidTr="00B41C71">
        <w:trPr>
          <w:tblCellSpacing w:w="0" w:type="dxa"/>
        </w:trPr>
        <w:tc>
          <w:tcPr>
            <w:tcW w:w="3792" w:type="pct"/>
            <w:shd w:val="clear" w:color="auto" w:fill="FFFFFF"/>
            <w:tcMar>
              <w:top w:w="30" w:type="dxa"/>
              <w:left w:w="300" w:type="dxa"/>
              <w:bottom w:w="30" w:type="dxa"/>
              <w:right w:w="30" w:type="dxa"/>
            </w:tcMar>
            <w:hideMark/>
          </w:tcPr>
          <w:p w14:paraId="1F8D8537" w14:textId="2D06450E" w:rsidR="00CC599F" w:rsidRPr="006B552C" w:rsidRDefault="00CC599F" w:rsidP="00B41C71">
            <w:r>
              <w:t xml:space="preserve">Full Board </w:t>
            </w:r>
            <w:r w:rsidRPr="006B552C">
              <w:t>Approved</w:t>
            </w:r>
          </w:p>
        </w:tc>
        <w:tc>
          <w:tcPr>
            <w:tcW w:w="120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C4143" w14:textId="6848066E" w:rsidR="00CC599F" w:rsidRPr="006B552C" w:rsidRDefault="002A259C" w:rsidP="00B41C71">
            <w:pPr>
              <w:jc w:val="center"/>
            </w:pPr>
            <w:r>
              <w:t>0</w:t>
            </w:r>
          </w:p>
        </w:tc>
      </w:tr>
      <w:tr w:rsidR="00CC599F" w:rsidRPr="006B552C" w14:paraId="2A562D51" w14:textId="77777777" w:rsidTr="00B41C71">
        <w:trPr>
          <w:tblCellSpacing w:w="0" w:type="dxa"/>
        </w:trPr>
        <w:tc>
          <w:tcPr>
            <w:tcW w:w="3792" w:type="pct"/>
            <w:shd w:val="clear" w:color="auto" w:fill="E0E0E0"/>
            <w:tcMar>
              <w:top w:w="30" w:type="dxa"/>
              <w:left w:w="600" w:type="dxa"/>
              <w:bottom w:w="30" w:type="dxa"/>
              <w:right w:w="30" w:type="dxa"/>
            </w:tcMar>
            <w:hideMark/>
          </w:tcPr>
          <w:p w14:paraId="67197D7C" w14:textId="0D09DC5A" w:rsidR="00CC599F" w:rsidRPr="006B552C" w:rsidRDefault="00CC599F" w:rsidP="00CC599F">
            <w:pPr>
              <w:ind w:left="-240" w:hanging="90"/>
            </w:pPr>
            <w:r>
              <w:t>Expedited Approved</w:t>
            </w:r>
          </w:p>
        </w:tc>
        <w:tc>
          <w:tcPr>
            <w:tcW w:w="1208" w:type="pct"/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FECA4" w14:textId="56F33B11" w:rsidR="00CC599F" w:rsidRPr="006B552C" w:rsidRDefault="002A259C" w:rsidP="00B41C71">
            <w:pPr>
              <w:jc w:val="center"/>
            </w:pPr>
            <w:r>
              <w:t>9</w:t>
            </w:r>
          </w:p>
        </w:tc>
      </w:tr>
      <w:tr w:rsidR="00CC599F" w:rsidRPr="006B552C" w14:paraId="4CE8ED3C" w14:textId="77777777" w:rsidTr="00B41C71">
        <w:trPr>
          <w:tblCellSpacing w:w="0" w:type="dxa"/>
        </w:trPr>
        <w:tc>
          <w:tcPr>
            <w:tcW w:w="3792" w:type="pct"/>
            <w:shd w:val="clear" w:color="auto" w:fill="FFFFFF"/>
            <w:tcMar>
              <w:top w:w="30" w:type="dxa"/>
              <w:left w:w="600" w:type="dxa"/>
              <w:bottom w:w="30" w:type="dxa"/>
              <w:right w:w="30" w:type="dxa"/>
            </w:tcMar>
            <w:hideMark/>
          </w:tcPr>
          <w:p w14:paraId="471538D1" w14:textId="2BB6A7B8" w:rsidR="00CC599F" w:rsidRPr="006B552C" w:rsidRDefault="002A259C" w:rsidP="002A259C">
            <w:pPr>
              <w:ind w:left="-330"/>
            </w:pPr>
            <w:r>
              <w:t>Acknowledged</w:t>
            </w:r>
          </w:p>
        </w:tc>
        <w:tc>
          <w:tcPr>
            <w:tcW w:w="120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19334" w14:textId="3BE059C6" w:rsidR="00CC599F" w:rsidRPr="006B552C" w:rsidRDefault="002A259C" w:rsidP="00B41C71">
            <w:pPr>
              <w:jc w:val="center"/>
            </w:pPr>
            <w:r>
              <w:t>1</w:t>
            </w:r>
          </w:p>
        </w:tc>
      </w:tr>
    </w:tbl>
    <w:p w14:paraId="43B41258" w14:textId="12C1948F" w:rsidR="006B552C" w:rsidRDefault="006B552C"/>
    <w:p w14:paraId="276CEE45" w14:textId="05BF693D" w:rsidR="00F2332D" w:rsidRDefault="004A75CF">
      <w:r>
        <w:lastRenderedPageBreak/>
        <w:t>There were no adverse events reports. Currently</w:t>
      </w:r>
      <w:r w:rsidR="00F2332D">
        <w:t xml:space="preserve">, New College has </w:t>
      </w:r>
      <w:r>
        <w:t>12</w:t>
      </w:r>
      <w:r w:rsidR="00CE1A7E">
        <w:t xml:space="preserve">1 </w:t>
      </w:r>
      <w:r w:rsidR="00F2332D">
        <w:t>active IRB protocol</w:t>
      </w:r>
      <w:r>
        <w:t xml:space="preserve">s. This number is expected to decrease when </w:t>
      </w:r>
      <w:r w:rsidR="00085BEE">
        <w:t xml:space="preserve">many of </w:t>
      </w:r>
      <w:r>
        <w:t xml:space="preserve">the protocols are </w:t>
      </w:r>
      <w:r w:rsidR="00085BEE">
        <w:t>terminated</w:t>
      </w:r>
      <w:r>
        <w:t xml:space="preserve"> </w:t>
      </w:r>
      <w:r w:rsidR="00CE1A7E">
        <w:t>following</w:t>
      </w:r>
      <w:r>
        <w:t xml:space="preserve"> the end of the semester.</w:t>
      </w:r>
    </w:p>
    <w:p w14:paraId="773022D5" w14:textId="0CB54835" w:rsidR="00F2332D" w:rsidRDefault="00F2332D"/>
    <w:p w14:paraId="219FD26D" w14:textId="61098818" w:rsidR="00F2332D" w:rsidRDefault="000653C8">
      <w:r>
        <w:t xml:space="preserve">Finally, the IRB </w:t>
      </w:r>
      <w:r w:rsidR="004A75CF">
        <w:t>made progress in the following a</w:t>
      </w:r>
      <w:r>
        <w:t>dministrative areas:</w:t>
      </w:r>
    </w:p>
    <w:p w14:paraId="3412EB8E" w14:textId="02960C6D" w:rsidR="000653C8" w:rsidRDefault="004A75CF" w:rsidP="004A75CF">
      <w:pPr>
        <w:pStyle w:val="ListParagraph"/>
        <w:numPr>
          <w:ilvl w:val="0"/>
          <w:numId w:val="1"/>
        </w:numPr>
      </w:pPr>
      <w:r>
        <w:t>An automated approval stamp and expiration date will be added to approved protocol forms.</w:t>
      </w:r>
    </w:p>
    <w:p w14:paraId="4239DD9B" w14:textId="7FC59F3C" w:rsidR="004A75CF" w:rsidRDefault="00C1271B" w:rsidP="004A75CF">
      <w:pPr>
        <w:pStyle w:val="ListParagraph"/>
        <w:numPr>
          <w:ilvl w:val="0"/>
          <w:numId w:val="1"/>
        </w:numPr>
      </w:pPr>
      <w:r>
        <w:t>The IRB is gathering information related to the automat</w:t>
      </w:r>
      <w:r w:rsidR="00085BEE">
        <w:t>ed</w:t>
      </w:r>
      <w:r>
        <w:t xml:space="preserve"> uploading of </w:t>
      </w:r>
      <w:r w:rsidR="004A75CF">
        <w:t>CITI course completion certificates</w:t>
      </w:r>
      <w:r>
        <w:t xml:space="preserve"> </w:t>
      </w:r>
      <w:r w:rsidR="004A75CF">
        <w:t>to the Mentor system</w:t>
      </w:r>
      <w:r>
        <w:t xml:space="preserve">. This </w:t>
      </w:r>
      <w:r w:rsidR="004A75CF">
        <w:t>w</w:t>
      </w:r>
      <w:r w:rsidR="00CE1A7E">
        <w:t>ould</w:t>
      </w:r>
      <w:r w:rsidR="004A75CF">
        <w:t xml:space="preserve"> allow for </w:t>
      </w:r>
      <w:r>
        <w:t xml:space="preserve">the </w:t>
      </w:r>
      <w:r w:rsidR="004A75CF">
        <w:t>automation of alerts to be sent to PIs when their training is nearing expiration.</w:t>
      </w:r>
    </w:p>
    <w:p w14:paraId="18704A0F" w14:textId="77777777" w:rsidR="00C1271B" w:rsidRDefault="00C1271B" w:rsidP="00C1271B">
      <w:pPr>
        <w:pStyle w:val="ListParagraph"/>
      </w:pPr>
    </w:p>
    <w:p w14:paraId="2B5874E1" w14:textId="77777777" w:rsidR="00143C97" w:rsidRDefault="00143C97" w:rsidP="000653C8">
      <w:r>
        <w:t xml:space="preserve">The IRB met on January 16, 2024 and April 5, 2024. </w:t>
      </w:r>
      <w:r w:rsidR="00085BEE">
        <w:t>The next meeting of the IRB i</w:t>
      </w:r>
      <w:r>
        <w:t xml:space="preserve">s scheduled for </w:t>
      </w:r>
      <w:r w:rsidR="00085BEE">
        <w:t xml:space="preserve">May 24, 2024. </w:t>
      </w:r>
    </w:p>
    <w:p w14:paraId="417D9C0F" w14:textId="77777777" w:rsidR="00143C97" w:rsidRDefault="00143C97" w:rsidP="000653C8"/>
    <w:p w14:paraId="7C2A172E" w14:textId="0AD8B28F" w:rsidR="000653C8" w:rsidRDefault="000653C8" w:rsidP="000653C8">
      <w:r w:rsidRPr="000653C8">
        <w:t>Protocols must be submitted no later than Monday, October</w:t>
      </w:r>
      <w:r w:rsidR="004A75CF">
        <w:t xml:space="preserve"> 28</w:t>
      </w:r>
      <w:r w:rsidRPr="000653C8">
        <w:t>, 202</w:t>
      </w:r>
      <w:r w:rsidR="004A75CF">
        <w:t>4</w:t>
      </w:r>
      <w:r w:rsidRPr="000653C8">
        <w:t xml:space="preserve"> for guaranteed </w:t>
      </w:r>
      <w:r>
        <w:t>review</w:t>
      </w:r>
      <w:r w:rsidRPr="000653C8">
        <w:t xml:space="preserve"> by the end of the Fall semester (for research anticipated to begin in Spring or Summer</w:t>
      </w:r>
      <w:r w:rsidR="00C1271B">
        <w:t xml:space="preserve"> 2025</w:t>
      </w:r>
      <w:r w:rsidRPr="000653C8">
        <w:t xml:space="preserve">). New applications are accepted any time throughout the academic year. </w:t>
      </w:r>
    </w:p>
    <w:p w14:paraId="3646D9E3" w14:textId="5721AD4F" w:rsidR="00143C97" w:rsidRDefault="00143C97" w:rsidP="000653C8"/>
    <w:p w14:paraId="4E5BBE6E" w14:textId="77777777" w:rsidR="00143C97" w:rsidRDefault="00143C97" w:rsidP="000653C8"/>
    <w:p w14:paraId="4202935B" w14:textId="1D0B1CC7" w:rsidR="00143C97" w:rsidRDefault="00143C97" w:rsidP="000653C8">
      <w:r>
        <w:t>Respectfully submitted,</w:t>
      </w:r>
    </w:p>
    <w:p w14:paraId="582E8B44" w14:textId="63C8BC77" w:rsidR="00143C97" w:rsidRDefault="00143C97" w:rsidP="000653C8"/>
    <w:p w14:paraId="2E8A84A0" w14:textId="2EA6C91E" w:rsidR="00143C97" w:rsidRDefault="00143C97" w:rsidP="000653C8">
      <w:r>
        <w:rPr>
          <w:noProof/>
        </w:rPr>
        <w:drawing>
          <wp:inline distT="0" distB="0" distL="0" distR="0" wp14:anchorId="6075401B" wp14:editId="0D2937DC">
            <wp:extent cx="1714500" cy="4298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86" cy="44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4BDB" w14:textId="4D046261" w:rsidR="00143C97" w:rsidRDefault="00143C97" w:rsidP="000653C8">
      <w:r>
        <w:t>Elizabeth Bright, Ed.D.</w:t>
      </w:r>
    </w:p>
    <w:p w14:paraId="3C3F1402" w14:textId="0FD0C064" w:rsidR="00143C97" w:rsidRDefault="00143C97" w:rsidP="000653C8">
      <w:r>
        <w:t>IRB Administrator</w:t>
      </w:r>
    </w:p>
    <w:sectPr w:rsidR="00143C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02D6" w14:textId="77777777" w:rsidR="009C0C96" w:rsidRDefault="009C0C96" w:rsidP="00FD78B1">
      <w:r>
        <w:separator/>
      </w:r>
    </w:p>
  </w:endnote>
  <w:endnote w:type="continuationSeparator" w:id="0">
    <w:p w14:paraId="0B80E0D6" w14:textId="77777777" w:rsidR="009C0C96" w:rsidRDefault="009C0C96" w:rsidP="00FD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30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6BEA0A" w14:textId="35CF07C0" w:rsidR="00143C97" w:rsidRDefault="00143C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36E85A" w14:textId="77777777" w:rsidR="00143C97" w:rsidRDefault="00143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A580" w14:textId="77777777" w:rsidR="009C0C96" w:rsidRDefault="009C0C96" w:rsidP="00FD78B1">
      <w:r>
        <w:separator/>
      </w:r>
    </w:p>
  </w:footnote>
  <w:footnote w:type="continuationSeparator" w:id="0">
    <w:p w14:paraId="416E98C2" w14:textId="77777777" w:rsidR="009C0C96" w:rsidRDefault="009C0C96" w:rsidP="00FD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2003" w14:textId="339653F5" w:rsidR="00FD78B1" w:rsidRPr="00FD78B1" w:rsidRDefault="00FD78B1" w:rsidP="00FD78B1">
    <w:r>
      <w:t xml:space="preserve">IRB Annual Report, </w:t>
    </w:r>
    <w:r w:rsidR="001F700C">
      <w:t>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68A"/>
    <w:multiLevelType w:val="hybridMultilevel"/>
    <w:tmpl w:val="81B0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2C"/>
    <w:rsid w:val="000653C8"/>
    <w:rsid w:val="00085BEE"/>
    <w:rsid w:val="00143C97"/>
    <w:rsid w:val="001D31F8"/>
    <w:rsid w:val="001F700C"/>
    <w:rsid w:val="00214089"/>
    <w:rsid w:val="002A259C"/>
    <w:rsid w:val="002B6CBD"/>
    <w:rsid w:val="00336B42"/>
    <w:rsid w:val="003F5EFB"/>
    <w:rsid w:val="004A75CF"/>
    <w:rsid w:val="006B552C"/>
    <w:rsid w:val="009C0C96"/>
    <w:rsid w:val="00A74688"/>
    <w:rsid w:val="00C1271B"/>
    <w:rsid w:val="00CC599F"/>
    <w:rsid w:val="00CE1A7E"/>
    <w:rsid w:val="00F2332D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49A7"/>
  <w15:chartTrackingRefBased/>
  <w15:docId w15:val="{41B7ACB3-D419-7749-8AC2-645CA9D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B1"/>
  </w:style>
  <w:style w:type="paragraph" w:styleId="Footer">
    <w:name w:val="footer"/>
    <w:basedOn w:val="Normal"/>
    <w:link w:val="FooterChar"/>
    <w:uiPriority w:val="99"/>
    <w:unhideWhenUsed/>
    <w:rsid w:val="00FD7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2024-05-02T19:52:00Z</cp:lastPrinted>
  <dcterms:created xsi:type="dcterms:W3CDTF">2024-05-06T01:51:00Z</dcterms:created>
  <dcterms:modified xsi:type="dcterms:W3CDTF">2024-05-06T01:51:00Z</dcterms:modified>
</cp:coreProperties>
</file>