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D9D" w:rsidRDefault="008E522E">
      <w:pPr>
        <w:pStyle w:val="Title"/>
      </w:pPr>
      <w:bookmarkStart w:id="0" w:name="_GoBack"/>
      <w:bookmarkEnd w:id="0"/>
      <w:r>
        <w:t>Art History Academic Learning Compact</w:t>
      </w:r>
    </w:p>
    <w:p w:rsidR="00B15D9D" w:rsidRDefault="00B15D9D">
      <w:pPr>
        <w:pStyle w:val="Title"/>
      </w:pPr>
    </w:p>
    <w:p w:rsidR="00B15D9D" w:rsidRDefault="008E522E">
      <w:pPr>
        <w:pStyle w:val="Heading1"/>
        <w:spacing w:before="161"/>
        <w:ind w:left="0"/>
      </w:pPr>
      <w:r>
        <w:t>Description of the Academic Program:</w:t>
      </w:r>
    </w:p>
    <w:p w:rsidR="00B15D9D" w:rsidRDefault="008E522E">
      <w:pPr>
        <w:pBdr>
          <w:top w:val="nil"/>
          <w:left w:val="nil"/>
          <w:bottom w:val="nil"/>
          <w:right w:val="nil"/>
          <w:between w:val="nil"/>
        </w:pBdr>
        <w:rPr>
          <w:sz w:val="20"/>
          <w:szCs w:val="20"/>
        </w:rPr>
      </w:pPr>
      <w:r>
        <w:rPr>
          <w:sz w:val="20"/>
          <w:szCs w:val="20"/>
        </w:rPr>
        <w:t>Ideas about what counts as art vary across different times and places, and even within particular cultures. While only some forms of human activity are (or have been) viewed as art, human beings are united by the desire to respond to and represent their ex</w:t>
      </w:r>
      <w:r>
        <w:rPr>
          <w:sz w:val="20"/>
          <w:szCs w:val="20"/>
        </w:rPr>
        <w:t>istence in creative ways that transcend strictly utilitarian purposes. Art history offers a range of tools and lenses for analyzing the varied forms and functions of this creative drive, and therefore for understanding the global, interconnected cultures i</w:t>
      </w:r>
      <w:r>
        <w:rPr>
          <w:sz w:val="20"/>
          <w:szCs w:val="20"/>
        </w:rPr>
        <w:t>n which we live. Art history is no longer limited to its traditional focus on the fine arts of painting, sculpture, and architecture, and now encompasses other artifacts of material culture, such as ceramics, textiles, or advertisements, as well as postmod</w:t>
      </w:r>
      <w:r>
        <w:rPr>
          <w:sz w:val="20"/>
          <w:szCs w:val="20"/>
        </w:rPr>
        <w:t>ern and contemporary artworks that are more about concepts or relationships than material objects. Art historians study the ways in which these artworks and artifacts shape and were shaped by their historical context(s). By looking at how cultures in diffe</w:t>
      </w:r>
      <w:r>
        <w:rPr>
          <w:sz w:val="20"/>
          <w:szCs w:val="20"/>
        </w:rPr>
        <w:t>rent time periods have defined, experienced, and participated in artistic activity, art history students develop an informed understanding of human creativity and diversity, while sharpening their skills in visual and verbal analysis. They are encouraged t</w:t>
      </w:r>
      <w:r>
        <w:rPr>
          <w:sz w:val="20"/>
          <w:szCs w:val="20"/>
        </w:rPr>
        <w:t>o develop and pursue their own intellectual interests, formulating their own critical approaches to the material and arriving at their own definitions of what constitutes “art.”</w:t>
      </w: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rPr>
          <w:sz w:val="20"/>
          <w:szCs w:val="20"/>
        </w:rPr>
      </w:pPr>
      <w:r>
        <w:rPr>
          <w:sz w:val="20"/>
          <w:szCs w:val="20"/>
        </w:rPr>
        <w:t>With these goals in mind, the area of concentration in art history emphasizes</w:t>
      </w:r>
      <w:r>
        <w:rPr>
          <w:sz w:val="20"/>
          <w:szCs w:val="20"/>
        </w:rPr>
        <w:t>: 1) coursework that, grounded in the study of specific time periods, promotes historical awareness and some chronological breadth of knowledge; 2) coursework with a thematic, global, or studio art focus; 3) a theory and method course that introduces stude</w:t>
      </w:r>
      <w:r>
        <w:rPr>
          <w:sz w:val="20"/>
          <w:szCs w:val="20"/>
        </w:rPr>
        <w:t>nts to a variety of critical frameworks central to art history (including, but not limited to, social history, semiotics, feminist and gender theory, critical race and post-colonial theory, and globalization); 4) foreign language study; and 5) the applicat</w:t>
      </w:r>
      <w:r>
        <w:rPr>
          <w:sz w:val="20"/>
          <w:szCs w:val="20"/>
        </w:rPr>
        <w:t>ion of art historical knowledge in the context of an internship. Students are also encouraged to pursue opportunities for study and travel abroad.</w:t>
      </w: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rPr>
          <w:sz w:val="20"/>
          <w:szCs w:val="20"/>
        </w:rPr>
      </w:pPr>
      <w:r>
        <w:rPr>
          <w:sz w:val="20"/>
          <w:szCs w:val="20"/>
        </w:rPr>
        <w:t>Direct contact with artworks and artifacts and applied, hands-on learning is an essential component of the p</w:t>
      </w:r>
      <w:r>
        <w:rPr>
          <w:sz w:val="20"/>
          <w:szCs w:val="20"/>
        </w:rPr>
        <w:t xml:space="preserve">rogram. The Ringling Museum of Art, adjacent to New College, is a particularly rich source of these kinds of experiences, but students also benefit from opportunities at institutions like the Sarasota Art Museum and Marie Selby Botanical Gardens. Students </w:t>
      </w:r>
      <w:r>
        <w:rPr>
          <w:sz w:val="20"/>
          <w:szCs w:val="20"/>
        </w:rPr>
        <w:t>can deepen their engagement with museums even further by combining an area of concentration in Art History with a secondary field in Museum Studies.</w:t>
      </w:r>
    </w:p>
    <w:p w:rsidR="00B15D9D" w:rsidRDefault="00B15D9D">
      <w:pPr>
        <w:pStyle w:val="Title"/>
        <w:jc w:val="both"/>
      </w:pPr>
    </w:p>
    <w:p w:rsidR="00B15D9D" w:rsidRDefault="008E522E">
      <w:pPr>
        <w:pStyle w:val="Heading1"/>
        <w:spacing w:before="161"/>
        <w:ind w:left="0"/>
      </w:pPr>
      <w:bookmarkStart w:id="1" w:name="_heading=h.v1nw1mkfgnpb" w:colFirst="0" w:colLast="0"/>
      <w:bookmarkEnd w:id="1"/>
      <w:r>
        <w:t>Expected Outcomes:</w:t>
      </w:r>
    </w:p>
    <w:p w:rsidR="00B15D9D" w:rsidRDefault="008E522E">
      <w:pPr>
        <w:pBdr>
          <w:top w:val="nil"/>
          <w:left w:val="nil"/>
          <w:bottom w:val="nil"/>
          <w:right w:val="nil"/>
          <w:between w:val="nil"/>
        </w:pBdr>
        <w:rPr>
          <w:sz w:val="20"/>
          <w:szCs w:val="20"/>
        </w:rPr>
      </w:pPr>
      <w:r>
        <w:rPr>
          <w:sz w:val="20"/>
          <w:szCs w:val="20"/>
        </w:rPr>
        <w:t>The table below lists the expected learning outcomes for a student who completes an are</w:t>
      </w:r>
      <w:r>
        <w:rPr>
          <w:sz w:val="20"/>
          <w:szCs w:val="20"/>
        </w:rPr>
        <w:t>a of concentration in Art History, with an indication of which of the outcomes highlighted by the Board of Governors of the State University System of Florida (content/discipline knowledge and skills, communication skills, and critical thinking skills) the</w:t>
      </w:r>
      <w:r>
        <w:rPr>
          <w:sz w:val="20"/>
          <w:szCs w:val="20"/>
        </w:rPr>
        <w:t>y primarily address.</w:t>
      </w:r>
    </w:p>
    <w:p w:rsidR="00B15D9D" w:rsidRDefault="00B15D9D">
      <w:pPr>
        <w:pBdr>
          <w:top w:val="nil"/>
          <w:left w:val="nil"/>
          <w:bottom w:val="nil"/>
          <w:right w:val="nil"/>
          <w:between w:val="nil"/>
        </w:pBdr>
        <w:spacing w:before="2"/>
        <w:rPr>
          <w:b/>
          <w:sz w:val="20"/>
          <w:szCs w:val="2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6"/>
        <w:gridCol w:w="972"/>
        <w:gridCol w:w="1728"/>
        <w:gridCol w:w="1050"/>
      </w:tblGrid>
      <w:tr w:rsidR="00B15D9D">
        <w:trPr>
          <w:trHeight w:val="459"/>
        </w:trPr>
        <w:tc>
          <w:tcPr>
            <w:tcW w:w="5826" w:type="dxa"/>
          </w:tcPr>
          <w:p w:rsidR="00B15D9D" w:rsidRDefault="008E522E">
            <w:pPr>
              <w:pBdr>
                <w:top w:val="nil"/>
                <w:left w:val="nil"/>
                <w:bottom w:val="nil"/>
                <w:right w:val="nil"/>
                <w:between w:val="nil"/>
              </w:pBdr>
              <w:spacing w:before="113"/>
              <w:ind w:left="90"/>
              <w:rPr>
                <w:b/>
                <w:sz w:val="20"/>
                <w:szCs w:val="20"/>
              </w:rPr>
            </w:pPr>
            <w:r>
              <w:rPr>
                <w:b/>
                <w:sz w:val="20"/>
                <w:szCs w:val="20"/>
              </w:rPr>
              <w:t>Expected Outcomes for Art History Area of Concentration</w:t>
            </w:r>
          </w:p>
        </w:tc>
        <w:tc>
          <w:tcPr>
            <w:tcW w:w="972" w:type="dxa"/>
          </w:tcPr>
          <w:p w:rsidR="00B15D9D" w:rsidRDefault="008E522E">
            <w:pPr>
              <w:pBdr>
                <w:top w:val="nil"/>
                <w:left w:val="nil"/>
                <w:bottom w:val="nil"/>
                <w:right w:val="nil"/>
                <w:between w:val="nil"/>
              </w:pBdr>
              <w:spacing w:before="113"/>
              <w:ind w:left="93" w:right="86"/>
              <w:jc w:val="center"/>
              <w:rPr>
                <w:b/>
                <w:sz w:val="20"/>
                <w:szCs w:val="20"/>
              </w:rPr>
            </w:pPr>
            <w:r>
              <w:rPr>
                <w:b/>
                <w:sz w:val="20"/>
                <w:szCs w:val="20"/>
              </w:rPr>
              <w:t>Content</w:t>
            </w:r>
          </w:p>
        </w:tc>
        <w:tc>
          <w:tcPr>
            <w:tcW w:w="1728" w:type="dxa"/>
          </w:tcPr>
          <w:p w:rsidR="00B15D9D" w:rsidRDefault="008E522E">
            <w:pPr>
              <w:pBdr>
                <w:top w:val="nil"/>
                <w:left w:val="nil"/>
                <w:bottom w:val="nil"/>
                <w:right w:val="nil"/>
                <w:between w:val="nil"/>
              </w:pBdr>
              <w:spacing w:before="113"/>
              <w:ind w:left="99" w:right="92"/>
              <w:jc w:val="center"/>
              <w:rPr>
                <w:b/>
                <w:sz w:val="20"/>
                <w:szCs w:val="20"/>
              </w:rPr>
            </w:pPr>
            <w:r>
              <w:rPr>
                <w:b/>
                <w:sz w:val="20"/>
                <w:szCs w:val="20"/>
              </w:rPr>
              <w:t>Communication</w:t>
            </w:r>
          </w:p>
        </w:tc>
        <w:tc>
          <w:tcPr>
            <w:tcW w:w="1050" w:type="dxa"/>
          </w:tcPr>
          <w:p w:rsidR="00B15D9D" w:rsidRDefault="008E522E">
            <w:pPr>
              <w:pBdr>
                <w:top w:val="nil"/>
                <w:left w:val="nil"/>
                <w:bottom w:val="nil"/>
                <w:right w:val="nil"/>
                <w:between w:val="nil"/>
              </w:pBdr>
              <w:spacing w:line="230" w:lineRule="auto"/>
              <w:ind w:left="107" w:right="95" w:firstLine="75"/>
              <w:rPr>
                <w:b/>
                <w:sz w:val="20"/>
                <w:szCs w:val="20"/>
              </w:rPr>
            </w:pPr>
            <w:r>
              <w:rPr>
                <w:b/>
                <w:sz w:val="20"/>
                <w:szCs w:val="20"/>
              </w:rPr>
              <w:t>Critical Thinking</w:t>
            </w:r>
          </w:p>
        </w:tc>
      </w:tr>
      <w:tr w:rsidR="00B15D9D">
        <w:trPr>
          <w:trHeight w:val="1125"/>
        </w:trPr>
        <w:tc>
          <w:tcPr>
            <w:tcW w:w="5826" w:type="dxa"/>
          </w:tcPr>
          <w:p w:rsidR="00B15D9D" w:rsidRDefault="008E522E">
            <w:pPr>
              <w:pBdr>
                <w:top w:val="nil"/>
                <w:left w:val="nil"/>
                <w:bottom w:val="nil"/>
                <w:right w:val="nil"/>
                <w:between w:val="nil"/>
              </w:pBdr>
              <w:spacing w:before="116"/>
              <w:ind w:left="90" w:right="95"/>
              <w:jc w:val="both"/>
              <w:rPr>
                <w:sz w:val="20"/>
                <w:szCs w:val="20"/>
              </w:rPr>
            </w:pPr>
            <w:r>
              <w:rPr>
                <w:sz w:val="20"/>
                <w:szCs w:val="20"/>
              </w:rPr>
              <w:t>1. Students use discipline-specific vocabulary and skills, notably that of visual analysis, to describe and analyze visual and other forms of evidence contained within art</w:t>
            </w:r>
            <w:r>
              <w:rPr>
                <w:sz w:val="20"/>
                <w:szCs w:val="20"/>
              </w:rPr>
              <w:t>works and related forms of material culture</w:t>
            </w:r>
            <w:r>
              <w:rPr>
                <w:sz w:val="20"/>
                <w:szCs w:val="20"/>
              </w:rPr>
              <w:t>.</w:t>
            </w:r>
          </w:p>
        </w:tc>
        <w:tc>
          <w:tcPr>
            <w:tcW w:w="972" w:type="dxa"/>
          </w:tcPr>
          <w:p w:rsidR="00B15D9D" w:rsidRDefault="00B15D9D">
            <w:pPr>
              <w:pBdr>
                <w:top w:val="nil"/>
                <w:left w:val="nil"/>
                <w:bottom w:val="nil"/>
                <w:right w:val="nil"/>
                <w:between w:val="nil"/>
              </w:pBdr>
              <w:rPr>
                <w:b/>
                <w:sz w:val="20"/>
                <w:szCs w:val="20"/>
              </w:rPr>
            </w:pPr>
          </w:p>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sz w:val="20"/>
                <w:szCs w:val="20"/>
              </w:rPr>
            </w:pPr>
            <w:r>
              <w:rPr>
                <w:sz w:val="20"/>
                <w:szCs w:val="20"/>
              </w:rPr>
              <w:t>x</w:t>
            </w:r>
          </w:p>
          <w:p w:rsidR="00B15D9D" w:rsidRDefault="00B15D9D">
            <w:pPr>
              <w:pBdr>
                <w:top w:val="nil"/>
                <w:left w:val="nil"/>
                <w:bottom w:val="nil"/>
                <w:right w:val="nil"/>
                <w:between w:val="nil"/>
              </w:pBdr>
              <w:jc w:val="center"/>
              <w:rPr>
                <w:sz w:val="20"/>
                <w:szCs w:val="20"/>
              </w:rPr>
            </w:pPr>
          </w:p>
        </w:tc>
        <w:tc>
          <w:tcPr>
            <w:tcW w:w="1728" w:type="dxa"/>
          </w:tcPr>
          <w:p w:rsidR="00B15D9D" w:rsidRDefault="00B15D9D">
            <w:pPr>
              <w:pBdr>
                <w:top w:val="nil"/>
                <w:left w:val="nil"/>
                <w:bottom w:val="nil"/>
                <w:right w:val="nil"/>
                <w:between w:val="nil"/>
              </w:pBdr>
              <w:jc w:val="center"/>
              <w:rPr>
                <w:sz w:val="20"/>
                <w:szCs w:val="20"/>
              </w:rPr>
            </w:pPr>
          </w:p>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rFonts w:ascii="Times New Roman" w:eastAsia="Times New Roman" w:hAnsi="Times New Roman" w:cs="Times New Roman"/>
                <w:sz w:val="20"/>
                <w:szCs w:val="20"/>
              </w:rPr>
            </w:pPr>
            <w:r>
              <w:rPr>
                <w:sz w:val="20"/>
                <w:szCs w:val="20"/>
              </w:rPr>
              <w:t>x</w:t>
            </w:r>
          </w:p>
        </w:tc>
        <w:tc>
          <w:tcPr>
            <w:tcW w:w="1050"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rPr>
                <w:b/>
                <w:sz w:val="28"/>
                <w:szCs w:val="28"/>
              </w:rPr>
            </w:pPr>
          </w:p>
          <w:p w:rsidR="00B15D9D" w:rsidRDefault="00B15D9D">
            <w:pPr>
              <w:pBdr>
                <w:top w:val="nil"/>
                <w:left w:val="nil"/>
                <w:bottom w:val="nil"/>
                <w:right w:val="nil"/>
                <w:between w:val="nil"/>
              </w:pBdr>
              <w:spacing w:before="1"/>
              <w:ind w:left="10"/>
              <w:jc w:val="center"/>
              <w:rPr>
                <w:sz w:val="20"/>
                <w:szCs w:val="20"/>
              </w:rPr>
            </w:pPr>
          </w:p>
        </w:tc>
      </w:tr>
      <w:tr w:rsidR="00B15D9D">
        <w:trPr>
          <w:trHeight w:val="979"/>
        </w:trPr>
        <w:tc>
          <w:tcPr>
            <w:tcW w:w="5826" w:type="dxa"/>
          </w:tcPr>
          <w:p w:rsidR="00B15D9D" w:rsidRDefault="008E522E">
            <w:pPr>
              <w:pBdr>
                <w:top w:val="nil"/>
                <w:left w:val="nil"/>
                <w:bottom w:val="nil"/>
                <w:right w:val="nil"/>
                <w:between w:val="nil"/>
              </w:pBdr>
              <w:spacing w:before="117"/>
              <w:ind w:left="90" w:right="93"/>
              <w:jc w:val="both"/>
              <w:rPr>
                <w:sz w:val="20"/>
                <w:szCs w:val="20"/>
              </w:rPr>
            </w:pPr>
            <w:r>
              <w:rPr>
                <w:sz w:val="20"/>
                <w:szCs w:val="20"/>
              </w:rPr>
              <w:t>2. Students use appropriate research tools and skills to identify, access, and evaluate secondary and primary sources relevant to their objects of study.</w:t>
            </w:r>
          </w:p>
        </w:tc>
        <w:tc>
          <w:tcPr>
            <w:tcW w:w="972" w:type="dxa"/>
          </w:tcPr>
          <w:p w:rsidR="00B15D9D" w:rsidRDefault="00B15D9D">
            <w:pPr>
              <w:pBdr>
                <w:top w:val="nil"/>
                <w:left w:val="nil"/>
                <w:bottom w:val="nil"/>
                <w:right w:val="nil"/>
                <w:between w:val="nil"/>
              </w:pBdr>
              <w:jc w:val="center"/>
              <w:rPr>
                <w:sz w:val="20"/>
                <w:szCs w:val="20"/>
              </w:rPr>
            </w:pPr>
          </w:p>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sz w:val="20"/>
                <w:szCs w:val="20"/>
              </w:rPr>
            </w:pPr>
            <w:r>
              <w:rPr>
                <w:sz w:val="20"/>
                <w:szCs w:val="20"/>
              </w:rPr>
              <w:t>x</w:t>
            </w:r>
          </w:p>
          <w:p w:rsidR="00B15D9D" w:rsidRDefault="00B15D9D">
            <w:pPr>
              <w:pBdr>
                <w:top w:val="nil"/>
                <w:left w:val="nil"/>
                <w:bottom w:val="nil"/>
                <w:right w:val="nil"/>
                <w:between w:val="nil"/>
              </w:pBdr>
              <w:rPr>
                <w:rFonts w:ascii="Times New Roman" w:eastAsia="Times New Roman" w:hAnsi="Times New Roman" w:cs="Times New Roman"/>
                <w:sz w:val="20"/>
                <w:szCs w:val="20"/>
              </w:rPr>
            </w:pPr>
          </w:p>
        </w:tc>
        <w:tc>
          <w:tcPr>
            <w:tcW w:w="1728"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
              <w:rPr>
                <w:b/>
                <w:sz w:val="18"/>
                <w:szCs w:val="18"/>
              </w:rPr>
            </w:pPr>
          </w:p>
          <w:p w:rsidR="00B15D9D" w:rsidRDefault="00B15D9D">
            <w:pPr>
              <w:pBdr>
                <w:top w:val="nil"/>
                <w:left w:val="nil"/>
                <w:bottom w:val="nil"/>
                <w:right w:val="nil"/>
                <w:between w:val="nil"/>
              </w:pBdr>
              <w:ind w:left="9"/>
              <w:jc w:val="center"/>
              <w:rPr>
                <w:sz w:val="20"/>
                <w:szCs w:val="20"/>
              </w:rPr>
            </w:pPr>
          </w:p>
        </w:tc>
        <w:tc>
          <w:tcPr>
            <w:tcW w:w="1050"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
              <w:rPr>
                <w:b/>
                <w:sz w:val="18"/>
                <w:szCs w:val="18"/>
              </w:rPr>
            </w:pPr>
          </w:p>
          <w:p w:rsidR="00B15D9D" w:rsidRDefault="008E522E">
            <w:pPr>
              <w:pBdr>
                <w:top w:val="nil"/>
                <w:left w:val="nil"/>
                <w:bottom w:val="nil"/>
                <w:right w:val="nil"/>
                <w:between w:val="nil"/>
              </w:pBdr>
              <w:ind w:left="10"/>
              <w:jc w:val="center"/>
              <w:rPr>
                <w:sz w:val="20"/>
                <w:szCs w:val="20"/>
              </w:rPr>
            </w:pPr>
            <w:r>
              <w:rPr>
                <w:sz w:val="20"/>
                <w:szCs w:val="20"/>
              </w:rPr>
              <w:t>x</w:t>
            </w:r>
          </w:p>
        </w:tc>
      </w:tr>
      <w:tr w:rsidR="00B15D9D">
        <w:trPr>
          <w:trHeight w:val="979"/>
        </w:trPr>
        <w:tc>
          <w:tcPr>
            <w:tcW w:w="5826" w:type="dxa"/>
          </w:tcPr>
          <w:p w:rsidR="00B15D9D" w:rsidRDefault="008E522E">
            <w:pPr>
              <w:pBdr>
                <w:top w:val="nil"/>
                <w:left w:val="nil"/>
                <w:bottom w:val="nil"/>
                <w:right w:val="nil"/>
                <w:between w:val="nil"/>
              </w:pBdr>
              <w:spacing w:before="117"/>
              <w:ind w:left="90" w:right="93"/>
              <w:jc w:val="both"/>
              <w:rPr>
                <w:sz w:val="20"/>
                <w:szCs w:val="20"/>
              </w:rPr>
            </w:pPr>
            <w:r>
              <w:rPr>
                <w:sz w:val="20"/>
                <w:szCs w:val="20"/>
              </w:rPr>
              <w:t xml:space="preserve">3. </w:t>
            </w:r>
            <w:r>
              <w:t xml:space="preserve"> </w:t>
            </w:r>
            <w:r>
              <w:rPr>
                <w:sz w:val="20"/>
                <w:szCs w:val="20"/>
              </w:rPr>
              <w:t>Students communicate effectively both orally and in writing about their art historical objects of study.</w:t>
            </w:r>
          </w:p>
        </w:tc>
        <w:tc>
          <w:tcPr>
            <w:tcW w:w="972" w:type="dxa"/>
          </w:tcPr>
          <w:p w:rsidR="00B15D9D" w:rsidRDefault="00B15D9D">
            <w:pPr>
              <w:pBdr>
                <w:top w:val="nil"/>
                <w:left w:val="nil"/>
                <w:bottom w:val="nil"/>
                <w:right w:val="nil"/>
                <w:between w:val="nil"/>
              </w:pBdr>
              <w:jc w:val="center"/>
              <w:rPr>
                <w:sz w:val="20"/>
                <w:szCs w:val="20"/>
              </w:rPr>
            </w:pPr>
          </w:p>
        </w:tc>
        <w:tc>
          <w:tcPr>
            <w:tcW w:w="1728" w:type="dxa"/>
          </w:tcPr>
          <w:p w:rsidR="00B15D9D" w:rsidRDefault="00B15D9D">
            <w:pPr>
              <w:pBdr>
                <w:top w:val="nil"/>
                <w:left w:val="nil"/>
                <w:bottom w:val="nil"/>
                <w:right w:val="nil"/>
                <w:between w:val="nil"/>
              </w:pBdr>
              <w:jc w:val="center"/>
              <w:rPr>
                <w:sz w:val="20"/>
                <w:szCs w:val="20"/>
              </w:rPr>
            </w:pPr>
          </w:p>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b/>
              </w:rPr>
            </w:pPr>
            <w:r>
              <w:rPr>
                <w:sz w:val="20"/>
                <w:szCs w:val="20"/>
              </w:rPr>
              <w:t>x</w:t>
            </w:r>
          </w:p>
        </w:tc>
        <w:tc>
          <w:tcPr>
            <w:tcW w:w="1050" w:type="dxa"/>
          </w:tcPr>
          <w:p w:rsidR="00B15D9D" w:rsidRDefault="00B15D9D">
            <w:pPr>
              <w:pBdr>
                <w:top w:val="nil"/>
                <w:left w:val="nil"/>
                <w:bottom w:val="nil"/>
                <w:right w:val="nil"/>
                <w:between w:val="nil"/>
              </w:pBdr>
              <w:rPr>
                <w:b/>
              </w:rPr>
            </w:pPr>
          </w:p>
        </w:tc>
      </w:tr>
      <w:tr w:rsidR="00B15D9D">
        <w:trPr>
          <w:trHeight w:val="1470"/>
        </w:trPr>
        <w:tc>
          <w:tcPr>
            <w:tcW w:w="5826" w:type="dxa"/>
          </w:tcPr>
          <w:p w:rsidR="00B15D9D" w:rsidRDefault="008E522E">
            <w:pPr>
              <w:pBdr>
                <w:top w:val="nil"/>
                <w:left w:val="nil"/>
                <w:bottom w:val="nil"/>
                <w:right w:val="nil"/>
                <w:between w:val="nil"/>
              </w:pBdr>
              <w:spacing w:before="117"/>
              <w:ind w:left="90" w:right="94"/>
              <w:jc w:val="both"/>
              <w:rPr>
                <w:sz w:val="20"/>
                <w:szCs w:val="20"/>
              </w:rPr>
            </w:pPr>
            <w:r>
              <w:rPr>
                <w:sz w:val="20"/>
                <w:szCs w:val="20"/>
              </w:rPr>
              <w:lastRenderedPageBreak/>
              <w:t xml:space="preserve">4. Students situate their objects of study (whether artists, movements, artworks, or other elements of visual or material culture) in specific historical contexts, but are also able to relate them to one another using broader thematic concerns, historical </w:t>
            </w:r>
            <w:r>
              <w:rPr>
                <w:sz w:val="20"/>
                <w:szCs w:val="20"/>
              </w:rPr>
              <w:t>shifts, and cultural connection</w:t>
            </w:r>
            <w:r>
              <w:rPr>
                <w:sz w:val="20"/>
                <w:szCs w:val="20"/>
              </w:rPr>
              <w:t>s.</w:t>
            </w:r>
          </w:p>
        </w:tc>
        <w:tc>
          <w:tcPr>
            <w:tcW w:w="972" w:type="dxa"/>
          </w:tcPr>
          <w:p w:rsidR="00B15D9D" w:rsidRDefault="00B15D9D">
            <w:pPr>
              <w:pBdr>
                <w:top w:val="nil"/>
                <w:left w:val="nil"/>
                <w:bottom w:val="nil"/>
                <w:right w:val="nil"/>
                <w:between w:val="nil"/>
              </w:pBdr>
              <w:jc w:val="center"/>
              <w:rPr>
                <w:sz w:val="20"/>
                <w:szCs w:val="20"/>
              </w:rPr>
            </w:pPr>
          </w:p>
          <w:p w:rsidR="00B15D9D" w:rsidRDefault="00B15D9D">
            <w:pPr>
              <w:pBdr>
                <w:top w:val="nil"/>
                <w:left w:val="nil"/>
                <w:bottom w:val="nil"/>
                <w:right w:val="nil"/>
                <w:between w:val="nil"/>
              </w:pBdr>
              <w:jc w:val="center"/>
              <w:rPr>
                <w:sz w:val="20"/>
                <w:szCs w:val="20"/>
              </w:rPr>
            </w:pPr>
          </w:p>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sz w:val="20"/>
                <w:szCs w:val="20"/>
              </w:rPr>
            </w:pPr>
            <w:r>
              <w:rPr>
                <w:sz w:val="20"/>
                <w:szCs w:val="20"/>
              </w:rPr>
              <w:t>x</w:t>
            </w:r>
          </w:p>
          <w:p w:rsidR="00B15D9D" w:rsidRDefault="00B15D9D">
            <w:pPr>
              <w:pBdr>
                <w:top w:val="nil"/>
                <w:left w:val="nil"/>
                <w:bottom w:val="nil"/>
                <w:right w:val="nil"/>
                <w:between w:val="nil"/>
              </w:pBdr>
              <w:rPr>
                <w:rFonts w:ascii="Times New Roman" w:eastAsia="Times New Roman" w:hAnsi="Times New Roman" w:cs="Times New Roman"/>
                <w:sz w:val="20"/>
                <w:szCs w:val="20"/>
              </w:rPr>
            </w:pPr>
          </w:p>
        </w:tc>
        <w:tc>
          <w:tcPr>
            <w:tcW w:w="1728"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86"/>
              <w:ind w:left="9"/>
              <w:jc w:val="center"/>
              <w:rPr>
                <w:sz w:val="20"/>
                <w:szCs w:val="20"/>
              </w:rPr>
            </w:pPr>
          </w:p>
        </w:tc>
        <w:tc>
          <w:tcPr>
            <w:tcW w:w="1050"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rPr>
                <w:b/>
              </w:rPr>
            </w:pPr>
          </w:p>
          <w:p w:rsidR="00B15D9D" w:rsidRDefault="008E522E">
            <w:pPr>
              <w:pBdr>
                <w:top w:val="nil"/>
                <w:left w:val="nil"/>
                <w:bottom w:val="nil"/>
                <w:right w:val="nil"/>
                <w:between w:val="nil"/>
              </w:pBdr>
              <w:spacing w:before="186"/>
              <w:ind w:left="10"/>
              <w:jc w:val="center"/>
              <w:rPr>
                <w:sz w:val="20"/>
                <w:szCs w:val="20"/>
              </w:rPr>
            </w:pPr>
            <w:r>
              <w:rPr>
                <w:sz w:val="20"/>
                <w:szCs w:val="20"/>
              </w:rPr>
              <w:t>x</w:t>
            </w:r>
          </w:p>
        </w:tc>
      </w:tr>
      <w:tr w:rsidR="00B15D9D">
        <w:trPr>
          <w:trHeight w:val="1160"/>
        </w:trPr>
        <w:tc>
          <w:tcPr>
            <w:tcW w:w="5826" w:type="dxa"/>
          </w:tcPr>
          <w:p w:rsidR="00B15D9D" w:rsidRDefault="008E522E">
            <w:pPr>
              <w:pBdr>
                <w:top w:val="nil"/>
                <w:left w:val="nil"/>
                <w:bottom w:val="nil"/>
                <w:right w:val="nil"/>
                <w:between w:val="nil"/>
              </w:pBdr>
              <w:spacing w:before="117"/>
              <w:ind w:left="90" w:right="92"/>
              <w:jc w:val="both"/>
              <w:rPr>
                <w:sz w:val="20"/>
                <w:szCs w:val="20"/>
              </w:rPr>
            </w:pPr>
            <w:r>
              <w:rPr>
                <w:sz w:val="20"/>
                <w:szCs w:val="20"/>
              </w:rPr>
              <w:t xml:space="preserve">5. </w:t>
            </w:r>
            <w:r>
              <w:t xml:space="preserve"> </w:t>
            </w:r>
            <w:r>
              <w:rPr>
                <w:sz w:val="20"/>
                <w:szCs w:val="20"/>
              </w:rPr>
              <w:t xml:space="preserve">Students employ </w:t>
            </w:r>
            <w:r>
              <w:rPr>
                <w:sz w:val="20"/>
                <w:szCs w:val="20"/>
              </w:rPr>
              <w:t xml:space="preserve">discipline-specific skills—whether in visual analysis or historical research—and </w:t>
            </w:r>
            <w:r>
              <w:rPr>
                <w:sz w:val="20"/>
                <w:szCs w:val="20"/>
              </w:rPr>
              <w:t>knowledge of broader historical periods</w:t>
            </w:r>
            <w:r>
              <w:rPr>
                <w:sz w:val="20"/>
                <w:szCs w:val="20"/>
              </w:rPr>
              <w:t xml:space="preserve"> and artistic and cultural trends and practices</w:t>
            </w:r>
            <w:r>
              <w:rPr>
                <w:sz w:val="20"/>
                <w:szCs w:val="20"/>
              </w:rPr>
              <w:t xml:space="preserve"> to analyze and interpret unfamiliar objects of study.</w:t>
            </w:r>
          </w:p>
        </w:tc>
        <w:tc>
          <w:tcPr>
            <w:tcW w:w="972"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
              <w:rPr>
                <w:b/>
                <w:sz w:val="18"/>
                <w:szCs w:val="18"/>
              </w:rPr>
            </w:pPr>
          </w:p>
          <w:p w:rsidR="00B15D9D" w:rsidRDefault="008E522E">
            <w:pPr>
              <w:pBdr>
                <w:top w:val="nil"/>
                <w:left w:val="nil"/>
                <w:bottom w:val="nil"/>
                <w:right w:val="nil"/>
                <w:between w:val="nil"/>
              </w:pBdr>
              <w:ind w:left="9"/>
              <w:jc w:val="center"/>
              <w:rPr>
                <w:sz w:val="20"/>
                <w:szCs w:val="20"/>
              </w:rPr>
            </w:pPr>
            <w:r>
              <w:rPr>
                <w:sz w:val="20"/>
                <w:szCs w:val="20"/>
              </w:rPr>
              <w:t>x</w:t>
            </w:r>
          </w:p>
        </w:tc>
        <w:tc>
          <w:tcPr>
            <w:tcW w:w="1728"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
              <w:rPr>
                <w:b/>
                <w:sz w:val="18"/>
                <w:szCs w:val="18"/>
              </w:rPr>
            </w:pPr>
          </w:p>
          <w:p w:rsidR="00B15D9D" w:rsidRDefault="00B15D9D">
            <w:pPr>
              <w:jc w:val="center"/>
              <w:rPr>
                <w:sz w:val="20"/>
                <w:szCs w:val="20"/>
              </w:rPr>
            </w:pPr>
          </w:p>
        </w:tc>
        <w:tc>
          <w:tcPr>
            <w:tcW w:w="1050"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spacing w:before="1"/>
              <w:rPr>
                <w:b/>
                <w:sz w:val="18"/>
                <w:szCs w:val="18"/>
              </w:rPr>
            </w:pPr>
          </w:p>
          <w:p w:rsidR="00B15D9D" w:rsidRDefault="008E522E">
            <w:pPr>
              <w:pBdr>
                <w:top w:val="nil"/>
                <w:left w:val="nil"/>
                <w:bottom w:val="nil"/>
                <w:right w:val="nil"/>
                <w:between w:val="nil"/>
              </w:pBdr>
              <w:ind w:left="10"/>
              <w:jc w:val="center"/>
              <w:rPr>
                <w:sz w:val="20"/>
                <w:szCs w:val="20"/>
              </w:rPr>
            </w:pPr>
            <w:r>
              <w:rPr>
                <w:sz w:val="20"/>
                <w:szCs w:val="20"/>
              </w:rPr>
              <w:t>x</w:t>
            </w:r>
          </w:p>
        </w:tc>
      </w:tr>
      <w:tr w:rsidR="00B15D9D">
        <w:trPr>
          <w:trHeight w:val="1160"/>
        </w:trPr>
        <w:tc>
          <w:tcPr>
            <w:tcW w:w="5826" w:type="dxa"/>
          </w:tcPr>
          <w:p w:rsidR="00B15D9D" w:rsidRDefault="008E522E">
            <w:pPr>
              <w:pBdr>
                <w:top w:val="nil"/>
                <w:left w:val="nil"/>
                <w:bottom w:val="nil"/>
                <w:right w:val="nil"/>
                <w:between w:val="nil"/>
              </w:pBdr>
              <w:spacing w:before="117"/>
              <w:ind w:left="90" w:right="92"/>
              <w:jc w:val="both"/>
              <w:rPr>
                <w:sz w:val="20"/>
                <w:szCs w:val="20"/>
              </w:rPr>
            </w:pPr>
            <w:r>
              <w:rPr>
                <w:sz w:val="20"/>
                <w:szCs w:val="20"/>
              </w:rPr>
              <w:t>6</w:t>
            </w:r>
            <w:r>
              <w:rPr>
                <w:sz w:val="20"/>
                <w:szCs w:val="20"/>
              </w:rPr>
              <w:t>. Students combine close analyses of physical/formal properties, historical/contextual analysis, and broader theoretical or thematic frameworks in support of strong, argument-driven interpretations of their objects of study.</w:t>
            </w:r>
          </w:p>
        </w:tc>
        <w:tc>
          <w:tcPr>
            <w:tcW w:w="972"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c>
          <w:tcPr>
            <w:tcW w:w="1728" w:type="dxa"/>
          </w:tcPr>
          <w:p w:rsidR="00B15D9D" w:rsidRDefault="00B15D9D">
            <w:pPr>
              <w:pBdr>
                <w:top w:val="nil"/>
                <w:left w:val="nil"/>
                <w:bottom w:val="nil"/>
                <w:right w:val="nil"/>
                <w:between w:val="nil"/>
              </w:pBdr>
              <w:rPr>
                <w:b/>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p w:rsidR="00B15D9D" w:rsidRDefault="00B15D9D">
            <w:pPr>
              <w:pBdr>
                <w:top w:val="nil"/>
                <w:left w:val="nil"/>
                <w:bottom w:val="nil"/>
                <w:right w:val="nil"/>
                <w:between w:val="nil"/>
              </w:pBdr>
              <w:rPr>
                <w:b/>
              </w:rPr>
            </w:pPr>
          </w:p>
        </w:tc>
        <w:tc>
          <w:tcPr>
            <w:tcW w:w="1050"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r>
      <w:tr w:rsidR="00B15D9D">
        <w:trPr>
          <w:trHeight w:val="1230"/>
        </w:trPr>
        <w:tc>
          <w:tcPr>
            <w:tcW w:w="5826" w:type="dxa"/>
          </w:tcPr>
          <w:p w:rsidR="00B15D9D" w:rsidRDefault="008E522E">
            <w:pPr>
              <w:pBdr>
                <w:top w:val="nil"/>
                <w:left w:val="nil"/>
                <w:bottom w:val="nil"/>
                <w:right w:val="nil"/>
                <w:between w:val="nil"/>
              </w:pBdr>
              <w:spacing w:before="117"/>
              <w:ind w:left="90" w:right="92"/>
              <w:jc w:val="both"/>
              <w:rPr>
                <w:sz w:val="20"/>
                <w:szCs w:val="20"/>
              </w:rPr>
            </w:pPr>
            <w:r>
              <w:rPr>
                <w:sz w:val="20"/>
                <w:szCs w:val="20"/>
              </w:rPr>
              <w:t>7</w:t>
            </w:r>
            <w:r>
              <w:rPr>
                <w:sz w:val="20"/>
                <w:szCs w:val="20"/>
              </w:rPr>
              <w:t>.</w:t>
            </w:r>
            <w:r>
              <w:t xml:space="preserve"> </w:t>
            </w:r>
            <w:r>
              <w:rPr>
                <w:sz w:val="20"/>
                <w:szCs w:val="20"/>
              </w:rPr>
              <w:t>Students recognize and evaluate new and established theoretical and methodological approaches employed in art history, and are able to apply them to new objects of study and/or use them to develop their own approach to art history.</w:t>
            </w:r>
          </w:p>
        </w:tc>
        <w:tc>
          <w:tcPr>
            <w:tcW w:w="972"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c>
          <w:tcPr>
            <w:tcW w:w="1728" w:type="dxa"/>
          </w:tcPr>
          <w:p w:rsidR="00B15D9D" w:rsidRDefault="00B15D9D">
            <w:pPr>
              <w:pBdr>
                <w:top w:val="nil"/>
                <w:left w:val="nil"/>
                <w:bottom w:val="nil"/>
                <w:right w:val="nil"/>
                <w:between w:val="nil"/>
              </w:pBdr>
              <w:rPr>
                <w:b/>
              </w:rPr>
            </w:pPr>
          </w:p>
        </w:tc>
        <w:tc>
          <w:tcPr>
            <w:tcW w:w="1050"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r>
      <w:tr w:rsidR="00B15D9D">
        <w:trPr>
          <w:trHeight w:val="785"/>
        </w:trPr>
        <w:tc>
          <w:tcPr>
            <w:tcW w:w="5826" w:type="dxa"/>
          </w:tcPr>
          <w:p w:rsidR="00B15D9D" w:rsidRDefault="008E522E">
            <w:pPr>
              <w:pBdr>
                <w:top w:val="nil"/>
                <w:left w:val="nil"/>
                <w:bottom w:val="nil"/>
                <w:right w:val="nil"/>
                <w:between w:val="nil"/>
              </w:pBdr>
              <w:spacing w:before="117"/>
              <w:ind w:left="90" w:right="92"/>
              <w:jc w:val="both"/>
              <w:rPr>
                <w:sz w:val="20"/>
                <w:szCs w:val="20"/>
              </w:rPr>
            </w:pPr>
            <w:r>
              <w:rPr>
                <w:sz w:val="20"/>
                <w:szCs w:val="20"/>
              </w:rPr>
              <w:t>8</w:t>
            </w:r>
            <w:r>
              <w:rPr>
                <w:sz w:val="20"/>
                <w:szCs w:val="20"/>
              </w:rPr>
              <w:t>.</w:t>
            </w:r>
            <w:r>
              <w:t xml:space="preserve">  </w:t>
            </w:r>
            <w:r>
              <w:rPr>
                <w:sz w:val="20"/>
                <w:szCs w:val="20"/>
              </w:rPr>
              <w:t xml:space="preserve">Students develop and conduct original research projects in dialogue with existing scholarship. </w:t>
            </w:r>
          </w:p>
        </w:tc>
        <w:tc>
          <w:tcPr>
            <w:tcW w:w="972" w:type="dxa"/>
          </w:tcPr>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sz w:val="20"/>
                <w:szCs w:val="20"/>
              </w:rPr>
            </w:pPr>
            <w:r>
              <w:rPr>
                <w:sz w:val="20"/>
                <w:szCs w:val="20"/>
              </w:rPr>
              <w:t>x</w:t>
            </w:r>
          </w:p>
          <w:p w:rsidR="00B15D9D" w:rsidRDefault="00B15D9D">
            <w:pPr>
              <w:pBdr>
                <w:top w:val="nil"/>
                <w:left w:val="nil"/>
                <w:bottom w:val="nil"/>
                <w:right w:val="nil"/>
                <w:between w:val="nil"/>
              </w:pBdr>
              <w:jc w:val="center"/>
              <w:rPr>
                <w:b/>
              </w:rPr>
            </w:pPr>
          </w:p>
        </w:tc>
        <w:tc>
          <w:tcPr>
            <w:tcW w:w="1728" w:type="dxa"/>
          </w:tcPr>
          <w:p w:rsidR="00B15D9D" w:rsidRDefault="00B15D9D">
            <w:pPr>
              <w:jc w:val="center"/>
              <w:rPr>
                <w:sz w:val="20"/>
                <w:szCs w:val="20"/>
              </w:rPr>
            </w:pPr>
          </w:p>
          <w:p w:rsidR="00B15D9D" w:rsidRDefault="008E522E">
            <w:pPr>
              <w:jc w:val="center"/>
              <w:rPr>
                <w:b/>
              </w:rPr>
            </w:pPr>
            <w:r>
              <w:rPr>
                <w:sz w:val="20"/>
                <w:szCs w:val="20"/>
              </w:rPr>
              <w:t>x</w:t>
            </w:r>
          </w:p>
        </w:tc>
        <w:tc>
          <w:tcPr>
            <w:tcW w:w="1050" w:type="dxa"/>
          </w:tcPr>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r>
      <w:tr w:rsidR="00B15D9D">
        <w:trPr>
          <w:trHeight w:val="1055"/>
        </w:trPr>
        <w:tc>
          <w:tcPr>
            <w:tcW w:w="5826" w:type="dxa"/>
          </w:tcPr>
          <w:p w:rsidR="00B15D9D" w:rsidRDefault="008E522E">
            <w:pPr>
              <w:pBdr>
                <w:top w:val="nil"/>
                <w:left w:val="nil"/>
                <w:bottom w:val="nil"/>
                <w:right w:val="nil"/>
                <w:between w:val="nil"/>
              </w:pBdr>
              <w:spacing w:before="117"/>
              <w:ind w:left="90" w:right="92"/>
              <w:jc w:val="both"/>
              <w:rPr>
                <w:sz w:val="20"/>
                <w:szCs w:val="20"/>
              </w:rPr>
            </w:pPr>
            <w:r>
              <w:rPr>
                <w:sz w:val="20"/>
                <w:szCs w:val="20"/>
              </w:rPr>
              <w:t>9</w:t>
            </w:r>
            <w:r>
              <w:rPr>
                <w:sz w:val="20"/>
                <w:szCs w:val="20"/>
              </w:rPr>
              <w:t>.</w:t>
            </w:r>
            <w:r>
              <w:t xml:space="preserve"> </w:t>
            </w:r>
            <w:r>
              <w:rPr>
                <w:sz w:val="20"/>
                <w:szCs w:val="20"/>
              </w:rPr>
              <w:t xml:space="preserve"> </w:t>
            </w:r>
            <w:r>
              <w:rPr>
                <w:sz w:val="20"/>
                <w:szCs w:val="20"/>
              </w:rPr>
              <w:t>S</w:t>
            </w:r>
            <w:r>
              <w:rPr>
                <w:sz w:val="20"/>
                <w:szCs w:val="20"/>
              </w:rPr>
              <w:t xml:space="preserve">tudents engage in activities, whether public-facing assignments, internships, or scholarly conferences, </w:t>
            </w:r>
            <w:r>
              <w:rPr>
                <w:sz w:val="20"/>
                <w:szCs w:val="20"/>
              </w:rPr>
              <w:t>in which they</w:t>
            </w:r>
            <w:r>
              <w:rPr>
                <w:sz w:val="20"/>
                <w:szCs w:val="20"/>
              </w:rPr>
              <w:t xml:space="preserve"> apply their learning to professional settings and situations.</w:t>
            </w:r>
          </w:p>
        </w:tc>
        <w:tc>
          <w:tcPr>
            <w:tcW w:w="972"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b/>
              </w:rPr>
            </w:pPr>
            <w:r>
              <w:rPr>
                <w:sz w:val="20"/>
                <w:szCs w:val="20"/>
              </w:rPr>
              <w:t>x</w:t>
            </w:r>
          </w:p>
        </w:tc>
        <w:tc>
          <w:tcPr>
            <w:tcW w:w="1728" w:type="dxa"/>
          </w:tcPr>
          <w:p w:rsidR="00B15D9D" w:rsidRDefault="00B15D9D">
            <w:pPr>
              <w:jc w:val="center"/>
              <w:rPr>
                <w:sz w:val="20"/>
                <w:szCs w:val="20"/>
              </w:rPr>
            </w:pPr>
          </w:p>
          <w:p w:rsidR="00B15D9D" w:rsidRDefault="00B15D9D">
            <w:pPr>
              <w:jc w:val="center"/>
              <w:rPr>
                <w:sz w:val="20"/>
                <w:szCs w:val="20"/>
              </w:rPr>
            </w:pPr>
          </w:p>
          <w:p w:rsidR="00B15D9D" w:rsidRDefault="008E522E">
            <w:pPr>
              <w:jc w:val="center"/>
              <w:rPr>
                <w:b/>
              </w:rPr>
            </w:pPr>
            <w:r>
              <w:rPr>
                <w:sz w:val="20"/>
                <w:szCs w:val="20"/>
              </w:rPr>
              <w:t>x</w:t>
            </w:r>
          </w:p>
        </w:tc>
        <w:tc>
          <w:tcPr>
            <w:tcW w:w="1050" w:type="dxa"/>
          </w:tcPr>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jc w:val="center"/>
              <w:rPr>
                <w:b/>
              </w:rPr>
            </w:pPr>
          </w:p>
        </w:tc>
      </w:tr>
      <w:tr w:rsidR="00B15D9D">
        <w:trPr>
          <w:trHeight w:val="1230"/>
        </w:trPr>
        <w:tc>
          <w:tcPr>
            <w:tcW w:w="5826" w:type="dxa"/>
          </w:tcPr>
          <w:p w:rsidR="00B15D9D" w:rsidRDefault="008E522E">
            <w:pPr>
              <w:spacing w:before="117"/>
              <w:ind w:left="90" w:right="92"/>
              <w:jc w:val="both"/>
              <w:rPr>
                <w:sz w:val="20"/>
                <w:szCs w:val="20"/>
              </w:rPr>
            </w:pPr>
            <w:r>
              <w:rPr>
                <w:sz w:val="20"/>
                <w:szCs w:val="20"/>
              </w:rPr>
              <w:t>10.</w:t>
            </w:r>
            <w:r>
              <w:t xml:space="preserve"> </w:t>
            </w:r>
            <w:r>
              <w:rPr>
                <w:sz w:val="20"/>
                <w:szCs w:val="20"/>
              </w:rPr>
              <w:t xml:space="preserve"> Students are exposed to diverse perspectives on artworks and other forms of material culture, whether through coursework in other disciplines, coursework with a global focus, or study at other institutions and/or abroad.</w:t>
            </w:r>
          </w:p>
        </w:tc>
        <w:tc>
          <w:tcPr>
            <w:tcW w:w="972" w:type="dxa"/>
          </w:tcPr>
          <w:p w:rsidR="00B15D9D" w:rsidRDefault="00B15D9D">
            <w:pPr>
              <w:jc w:val="center"/>
              <w:rPr>
                <w:sz w:val="20"/>
                <w:szCs w:val="20"/>
              </w:rPr>
            </w:pPr>
          </w:p>
          <w:p w:rsidR="00B15D9D" w:rsidRDefault="00B15D9D">
            <w:pPr>
              <w:jc w:val="center"/>
              <w:rPr>
                <w:sz w:val="20"/>
                <w:szCs w:val="20"/>
              </w:rPr>
            </w:pPr>
          </w:p>
          <w:p w:rsidR="00B15D9D" w:rsidRDefault="008E522E">
            <w:pPr>
              <w:jc w:val="center"/>
              <w:rPr>
                <w:sz w:val="20"/>
                <w:szCs w:val="20"/>
              </w:rPr>
            </w:pPr>
            <w:r>
              <w:rPr>
                <w:sz w:val="20"/>
                <w:szCs w:val="20"/>
              </w:rPr>
              <w:t>x</w:t>
            </w:r>
          </w:p>
        </w:tc>
        <w:tc>
          <w:tcPr>
            <w:tcW w:w="1728" w:type="dxa"/>
          </w:tcPr>
          <w:p w:rsidR="00B15D9D" w:rsidRDefault="00B15D9D">
            <w:pPr>
              <w:pBdr>
                <w:top w:val="nil"/>
                <w:left w:val="nil"/>
                <w:bottom w:val="nil"/>
                <w:right w:val="nil"/>
                <w:between w:val="nil"/>
              </w:pBdr>
              <w:rPr>
                <w:b/>
              </w:rPr>
            </w:pPr>
          </w:p>
        </w:tc>
        <w:tc>
          <w:tcPr>
            <w:tcW w:w="1050" w:type="dxa"/>
          </w:tcPr>
          <w:p w:rsidR="00B15D9D" w:rsidRDefault="00B15D9D">
            <w:pPr>
              <w:jc w:val="center"/>
              <w:rPr>
                <w:sz w:val="20"/>
                <w:szCs w:val="20"/>
              </w:rPr>
            </w:pPr>
          </w:p>
          <w:p w:rsidR="00B15D9D" w:rsidRDefault="00B15D9D">
            <w:pPr>
              <w:jc w:val="center"/>
              <w:rPr>
                <w:sz w:val="20"/>
                <w:szCs w:val="20"/>
              </w:rPr>
            </w:pPr>
          </w:p>
          <w:p w:rsidR="00B15D9D" w:rsidRDefault="008E522E">
            <w:pPr>
              <w:jc w:val="center"/>
              <w:rPr>
                <w:sz w:val="20"/>
                <w:szCs w:val="20"/>
              </w:rPr>
            </w:pPr>
            <w:r>
              <w:rPr>
                <w:sz w:val="20"/>
                <w:szCs w:val="20"/>
              </w:rPr>
              <w:t>x</w:t>
            </w:r>
          </w:p>
        </w:tc>
      </w:tr>
    </w:tbl>
    <w:p w:rsidR="00B15D9D" w:rsidRDefault="00B15D9D">
      <w:pPr>
        <w:pBdr>
          <w:top w:val="nil"/>
          <w:left w:val="nil"/>
          <w:bottom w:val="nil"/>
          <w:right w:val="nil"/>
          <w:between w:val="nil"/>
        </w:pBdr>
        <w:rPr>
          <w:b/>
          <w:sz w:val="26"/>
          <w:szCs w:val="26"/>
        </w:rPr>
      </w:pPr>
    </w:p>
    <w:p w:rsidR="00B15D9D" w:rsidRDefault="008E522E">
      <w:pPr>
        <w:pStyle w:val="Heading1"/>
        <w:spacing w:before="161"/>
        <w:ind w:left="0"/>
      </w:pPr>
      <w:r>
        <w:t>Measures to track student progress:</w:t>
      </w:r>
    </w:p>
    <w:p w:rsidR="00B15D9D" w:rsidRDefault="00B15D9D">
      <w:pPr>
        <w:pBdr>
          <w:top w:val="nil"/>
          <w:left w:val="nil"/>
          <w:bottom w:val="nil"/>
          <w:right w:val="nil"/>
          <w:between w:val="nil"/>
        </w:pBdr>
        <w:spacing w:before="9"/>
        <w:rPr>
          <w:b/>
          <w:sz w:val="19"/>
          <w:szCs w:val="19"/>
        </w:rPr>
      </w:pPr>
    </w:p>
    <w:p w:rsidR="00B15D9D" w:rsidRDefault="008E522E">
      <w:pPr>
        <w:pBdr>
          <w:top w:val="nil"/>
          <w:left w:val="nil"/>
          <w:bottom w:val="nil"/>
          <w:right w:val="nil"/>
          <w:between w:val="nil"/>
        </w:pBdr>
        <w:spacing w:before="1"/>
        <w:ind w:right="215"/>
        <w:jc w:val="both"/>
        <w:rPr>
          <w:sz w:val="20"/>
          <w:szCs w:val="20"/>
        </w:rPr>
      </w:pPr>
      <w:r>
        <w:rPr>
          <w:sz w:val="20"/>
          <w:szCs w:val="20"/>
        </w:rPr>
        <w:t>Beginning and continuing students in courses are evaluated on the basis of short-answer exams in which they define, respond to, and/or apply vocabulary, primary text passages, and unknown artworks and artifacts, short written responses to assigned texts, s</w:t>
      </w:r>
      <w:r>
        <w:rPr>
          <w:sz w:val="20"/>
          <w:szCs w:val="20"/>
        </w:rPr>
        <w:t>hort papers, term papers, oral presentations, and participation in class discussions and activities. This combination of evaluative tools allows each student to gain a picture of their progress in acquiring both the vocabulary and skills of art history and</w:t>
      </w:r>
      <w:r>
        <w:rPr>
          <w:sz w:val="20"/>
          <w:szCs w:val="20"/>
        </w:rPr>
        <w:t xml:space="preserve"> the scholarly approaches used by the field. Evaluative comments are summarized at the end of each semester in a narrative course evaluation. The art history faculty review all aspects of a student’s work in the fifth term before students declare Art Histo</w:t>
      </w:r>
      <w:r>
        <w:rPr>
          <w:sz w:val="20"/>
          <w:szCs w:val="20"/>
        </w:rPr>
        <w:t xml:space="preserve">ry as </w:t>
      </w:r>
      <w:proofErr w:type="gramStart"/>
      <w:r>
        <w:rPr>
          <w:sz w:val="20"/>
          <w:szCs w:val="20"/>
        </w:rPr>
        <w:t>their</w:t>
      </w:r>
      <w:proofErr w:type="gramEnd"/>
      <w:r>
        <w:rPr>
          <w:sz w:val="20"/>
          <w:szCs w:val="20"/>
        </w:rPr>
        <w:t xml:space="preserve"> area of concentration, and again when they submit a Thesis Prospectus in their sixth term.</w:t>
      </w:r>
    </w:p>
    <w:p w:rsidR="00B15D9D" w:rsidRDefault="00B15D9D">
      <w:pPr>
        <w:pBdr>
          <w:top w:val="nil"/>
          <w:left w:val="nil"/>
          <w:bottom w:val="nil"/>
          <w:right w:val="nil"/>
          <w:between w:val="nil"/>
        </w:pBdr>
        <w:spacing w:before="1"/>
        <w:rPr>
          <w:sz w:val="20"/>
          <w:szCs w:val="20"/>
        </w:rPr>
      </w:pPr>
    </w:p>
    <w:p w:rsidR="00B15D9D" w:rsidRDefault="008E522E">
      <w:pPr>
        <w:pStyle w:val="Heading1"/>
        <w:ind w:left="0"/>
      </w:pPr>
      <w:r>
        <w:t>Specific measures to demonstrate each graduate’s competencies:</w:t>
      </w:r>
    </w:p>
    <w:p w:rsidR="00B15D9D" w:rsidRDefault="00B15D9D">
      <w:pPr>
        <w:pBdr>
          <w:top w:val="nil"/>
          <w:left w:val="nil"/>
          <w:bottom w:val="nil"/>
          <w:right w:val="nil"/>
          <w:between w:val="nil"/>
        </w:pBdr>
        <w:spacing w:before="10"/>
        <w:rPr>
          <w:b/>
          <w:sz w:val="19"/>
          <w:szCs w:val="19"/>
        </w:rPr>
      </w:pPr>
    </w:p>
    <w:p w:rsidR="00B15D9D" w:rsidRDefault="008E522E">
      <w:pPr>
        <w:pBdr>
          <w:top w:val="nil"/>
          <w:left w:val="nil"/>
          <w:bottom w:val="nil"/>
          <w:right w:val="nil"/>
          <w:between w:val="nil"/>
        </w:pBdr>
        <w:ind w:right="215"/>
        <w:jc w:val="both"/>
        <w:rPr>
          <w:sz w:val="20"/>
          <w:szCs w:val="20"/>
        </w:rPr>
        <w:sectPr w:rsidR="00B15D9D">
          <w:pgSz w:w="12240" w:h="15840"/>
          <w:pgMar w:top="1360" w:right="1220" w:bottom="280" w:left="1220" w:header="720" w:footer="720" w:gutter="0"/>
          <w:pgNumType w:start="1"/>
          <w:cols w:space="720"/>
        </w:sectPr>
      </w:pPr>
      <w:r>
        <w:rPr>
          <w:sz w:val="20"/>
          <w:szCs w:val="20"/>
        </w:rPr>
        <w:t>All students with a concentration in art history complete a senior thesis or project under the direct supervision of a member of the art history faculty. Each senior thesis or project in art history involves significant research and writing, and the studen</w:t>
      </w:r>
      <w:r>
        <w:rPr>
          <w:sz w:val="20"/>
          <w:szCs w:val="20"/>
        </w:rPr>
        <w:t>t must defend their work in a public oral baccalaureate exam. Senior theses and projects are evaluated according to the comprehensiveness of the research, the strength and originality of the interpretation, and the clarity of the writing. Performance on th</w:t>
      </w:r>
      <w:r>
        <w:rPr>
          <w:sz w:val="20"/>
          <w:szCs w:val="20"/>
        </w:rPr>
        <w:t>e oral exam is evaluated based on how well the student responds to questions, demonstrates knowledge of the field, and defends their own interpretation of their object(s) of study.</w:t>
      </w:r>
    </w:p>
    <w:p w:rsidR="00B15D9D" w:rsidRDefault="00B15D9D">
      <w:pPr>
        <w:pBdr>
          <w:top w:val="nil"/>
          <w:left w:val="nil"/>
          <w:bottom w:val="nil"/>
          <w:right w:val="nil"/>
          <w:between w:val="nil"/>
        </w:pBdr>
        <w:spacing w:before="9"/>
        <w:rPr>
          <w:sz w:val="14"/>
          <w:szCs w:val="14"/>
        </w:rPr>
      </w:pPr>
    </w:p>
    <w:tbl>
      <w:tblPr>
        <w:tblStyle w:val="a0"/>
        <w:tblW w:w="8856" w:type="dxa"/>
        <w:tblInd w:w="117" w:type="dxa"/>
        <w:tblBorders>
          <w:top w:val="single" w:sz="4" w:space="0" w:color="003365"/>
          <w:left w:val="single" w:sz="4" w:space="0" w:color="003365"/>
          <w:bottom w:val="single" w:sz="4" w:space="0" w:color="003365"/>
          <w:right w:val="single" w:sz="4" w:space="0" w:color="003365"/>
          <w:insideH w:val="single" w:sz="4" w:space="0" w:color="003365"/>
          <w:insideV w:val="single" w:sz="4" w:space="0" w:color="003365"/>
        </w:tblBorders>
        <w:tblLayout w:type="fixed"/>
        <w:tblLook w:val="0000" w:firstRow="0" w:lastRow="0" w:firstColumn="0" w:lastColumn="0" w:noHBand="0" w:noVBand="0"/>
      </w:tblPr>
      <w:tblGrid>
        <w:gridCol w:w="7488"/>
        <w:gridCol w:w="1368"/>
      </w:tblGrid>
      <w:tr w:rsidR="00B15D9D">
        <w:trPr>
          <w:trHeight w:val="689"/>
        </w:trPr>
        <w:tc>
          <w:tcPr>
            <w:tcW w:w="7488" w:type="dxa"/>
          </w:tcPr>
          <w:p w:rsidR="00B15D9D" w:rsidRDefault="00B15D9D">
            <w:pPr>
              <w:pBdr>
                <w:top w:val="nil"/>
                <w:left w:val="nil"/>
                <w:bottom w:val="nil"/>
                <w:right w:val="nil"/>
                <w:between w:val="nil"/>
              </w:pBdr>
              <w:spacing w:before="8"/>
              <w:rPr>
                <w:sz w:val="19"/>
                <w:szCs w:val="19"/>
              </w:rPr>
            </w:pPr>
          </w:p>
          <w:p w:rsidR="00B15D9D" w:rsidRDefault="008E522E">
            <w:pPr>
              <w:pBdr>
                <w:top w:val="nil"/>
                <w:left w:val="nil"/>
                <w:bottom w:val="nil"/>
                <w:right w:val="nil"/>
                <w:between w:val="nil"/>
              </w:pBdr>
              <w:spacing w:before="1"/>
              <w:ind w:left="1422" w:right="1413"/>
              <w:jc w:val="center"/>
              <w:rPr>
                <w:b/>
                <w:sz w:val="20"/>
                <w:szCs w:val="20"/>
              </w:rPr>
            </w:pPr>
            <w:r>
              <w:rPr>
                <w:b/>
                <w:sz w:val="20"/>
                <w:szCs w:val="20"/>
              </w:rPr>
              <w:t>Academic Activities Corresponding to Outcomes</w:t>
            </w:r>
          </w:p>
        </w:tc>
        <w:tc>
          <w:tcPr>
            <w:tcW w:w="1368" w:type="dxa"/>
          </w:tcPr>
          <w:p w:rsidR="00B15D9D" w:rsidRDefault="00B15D9D">
            <w:pPr>
              <w:pBdr>
                <w:top w:val="nil"/>
                <w:left w:val="nil"/>
                <w:bottom w:val="nil"/>
                <w:right w:val="nil"/>
                <w:between w:val="nil"/>
              </w:pBdr>
              <w:spacing w:before="8"/>
              <w:rPr>
                <w:sz w:val="19"/>
                <w:szCs w:val="19"/>
              </w:rPr>
            </w:pPr>
          </w:p>
          <w:p w:rsidR="00B15D9D" w:rsidRDefault="008E522E">
            <w:pPr>
              <w:spacing w:before="1"/>
              <w:ind w:right="101"/>
              <w:jc w:val="right"/>
              <w:rPr>
                <w:b/>
                <w:sz w:val="20"/>
                <w:szCs w:val="20"/>
              </w:rPr>
            </w:pPr>
            <w:r>
              <w:rPr>
                <w:b/>
                <w:sz w:val="20"/>
                <w:szCs w:val="20"/>
              </w:rPr>
              <w:t>Outcomes Addressed</w:t>
            </w:r>
          </w:p>
        </w:tc>
      </w:tr>
      <w:tr w:rsidR="00B15D9D">
        <w:trPr>
          <w:trHeight w:val="926"/>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 xml:space="preserve">Coursework grounded in the study of specific time periods and distributed to provide some chronological breadth (at a minimum, one course situated in each of the </w:t>
            </w:r>
            <w:proofErr w:type="spellStart"/>
            <w:r>
              <w:rPr>
                <w:sz w:val="20"/>
                <w:szCs w:val="20"/>
              </w:rPr>
              <w:t>premodern</w:t>
            </w:r>
            <w:proofErr w:type="spellEnd"/>
            <w:r>
              <w:rPr>
                <w:sz w:val="20"/>
                <w:szCs w:val="20"/>
              </w:rPr>
              <w:t>, early modern, modern, and contemporary periods).</w:t>
            </w:r>
          </w:p>
        </w:tc>
        <w:tc>
          <w:tcPr>
            <w:tcW w:w="1368" w:type="dxa"/>
          </w:tcPr>
          <w:p w:rsidR="00B15D9D" w:rsidRDefault="00B15D9D">
            <w:pPr>
              <w:rPr>
                <w:sz w:val="20"/>
                <w:szCs w:val="20"/>
              </w:rPr>
            </w:pPr>
          </w:p>
          <w:p w:rsidR="00B15D9D" w:rsidRDefault="008E522E">
            <w:pPr>
              <w:jc w:val="center"/>
              <w:rPr>
                <w:sz w:val="20"/>
                <w:szCs w:val="20"/>
              </w:rPr>
            </w:pPr>
            <w:r>
              <w:rPr>
                <w:sz w:val="20"/>
                <w:szCs w:val="20"/>
              </w:rPr>
              <w:t>1-6</w:t>
            </w:r>
          </w:p>
        </w:tc>
      </w:tr>
      <w:tr w:rsidR="00B15D9D">
        <w:trPr>
          <w:trHeight w:val="720"/>
        </w:trPr>
        <w:tc>
          <w:tcPr>
            <w:tcW w:w="7488" w:type="dxa"/>
          </w:tcPr>
          <w:p w:rsidR="00B15D9D" w:rsidRDefault="008E522E">
            <w:pPr>
              <w:pBdr>
                <w:top w:val="nil"/>
                <w:left w:val="nil"/>
                <w:bottom w:val="nil"/>
                <w:right w:val="nil"/>
                <w:between w:val="nil"/>
              </w:pBdr>
              <w:spacing w:before="117"/>
              <w:ind w:left="107" w:right="93"/>
              <w:jc w:val="both"/>
              <w:rPr>
                <w:sz w:val="20"/>
                <w:szCs w:val="20"/>
              </w:rPr>
            </w:pPr>
            <w:bookmarkStart w:id="2" w:name="_heading=h.gjdgxs" w:colFirst="0" w:colLast="0"/>
            <w:bookmarkEnd w:id="2"/>
            <w:r>
              <w:rPr>
                <w:sz w:val="20"/>
                <w:szCs w:val="20"/>
              </w:rPr>
              <w:t>Coursework with a thematic focus.</w:t>
            </w:r>
          </w:p>
        </w:tc>
        <w:tc>
          <w:tcPr>
            <w:tcW w:w="1368" w:type="dxa"/>
          </w:tcPr>
          <w:p w:rsidR="00B15D9D" w:rsidRDefault="00B15D9D">
            <w:pPr>
              <w:pBdr>
                <w:top w:val="nil"/>
                <w:left w:val="nil"/>
                <w:bottom w:val="nil"/>
                <w:right w:val="nil"/>
                <w:between w:val="nil"/>
              </w:pBdr>
              <w:jc w:val="center"/>
              <w:rPr>
                <w:sz w:val="20"/>
                <w:szCs w:val="20"/>
              </w:rPr>
            </w:pPr>
          </w:p>
          <w:p w:rsidR="00B15D9D" w:rsidRDefault="008E522E">
            <w:pPr>
              <w:pBdr>
                <w:top w:val="nil"/>
                <w:left w:val="nil"/>
                <w:bottom w:val="nil"/>
                <w:right w:val="nil"/>
                <w:between w:val="nil"/>
              </w:pBdr>
              <w:jc w:val="center"/>
              <w:rPr>
                <w:sz w:val="20"/>
                <w:szCs w:val="20"/>
              </w:rPr>
            </w:pPr>
            <w:r>
              <w:rPr>
                <w:sz w:val="20"/>
                <w:szCs w:val="20"/>
              </w:rPr>
              <w:t>1-4</w:t>
            </w:r>
          </w:p>
        </w:tc>
      </w:tr>
      <w:tr w:rsidR="00B15D9D">
        <w:trPr>
          <w:trHeight w:val="750"/>
        </w:trPr>
        <w:tc>
          <w:tcPr>
            <w:tcW w:w="7488" w:type="dxa"/>
          </w:tcPr>
          <w:p w:rsidR="00B15D9D" w:rsidRDefault="008E522E">
            <w:pPr>
              <w:pBdr>
                <w:top w:val="nil"/>
                <w:left w:val="nil"/>
                <w:bottom w:val="nil"/>
                <w:right w:val="nil"/>
                <w:between w:val="nil"/>
              </w:pBdr>
              <w:spacing w:before="117"/>
              <w:ind w:left="107" w:right="93"/>
              <w:jc w:val="both"/>
              <w:rPr>
                <w:sz w:val="20"/>
                <w:szCs w:val="20"/>
              </w:rPr>
            </w:pPr>
            <w:r>
              <w:rPr>
                <w:sz w:val="20"/>
                <w:szCs w:val="20"/>
              </w:rPr>
              <w:t>Coursework with a global focus.</w:t>
            </w:r>
          </w:p>
        </w:tc>
        <w:tc>
          <w:tcPr>
            <w:tcW w:w="1368" w:type="dxa"/>
          </w:tcPr>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jc w:val="center"/>
              <w:rPr>
                <w:sz w:val="20"/>
                <w:szCs w:val="20"/>
              </w:rPr>
            </w:pPr>
            <w:r>
              <w:rPr>
                <w:sz w:val="20"/>
                <w:szCs w:val="20"/>
              </w:rPr>
              <w:t>1, 5, 10</w:t>
            </w:r>
          </w:p>
        </w:tc>
      </w:tr>
      <w:tr w:rsidR="00B15D9D">
        <w:trPr>
          <w:trHeight w:val="700"/>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Coursework with a studio art focus.</w:t>
            </w:r>
          </w:p>
        </w:tc>
        <w:tc>
          <w:tcPr>
            <w:tcW w:w="1368" w:type="dxa"/>
          </w:tcPr>
          <w:p w:rsidR="00B15D9D" w:rsidRDefault="00B15D9D">
            <w:pPr>
              <w:rPr>
                <w:sz w:val="20"/>
                <w:szCs w:val="20"/>
              </w:rPr>
            </w:pPr>
          </w:p>
          <w:p w:rsidR="00B15D9D" w:rsidRDefault="008E522E">
            <w:pPr>
              <w:jc w:val="center"/>
              <w:rPr>
                <w:sz w:val="20"/>
                <w:szCs w:val="20"/>
              </w:rPr>
            </w:pPr>
            <w:r>
              <w:rPr>
                <w:sz w:val="20"/>
                <w:szCs w:val="20"/>
              </w:rPr>
              <w:t>1, 6, 10</w:t>
            </w:r>
          </w:p>
          <w:p w:rsidR="00B15D9D" w:rsidRDefault="00B15D9D">
            <w:pPr>
              <w:spacing w:before="2"/>
              <w:rPr>
                <w:sz w:val="20"/>
                <w:szCs w:val="20"/>
              </w:rPr>
            </w:pPr>
          </w:p>
          <w:p w:rsidR="00B15D9D" w:rsidRDefault="00B15D9D">
            <w:pPr>
              <w:ind w:left="9"/>
              <w:jc w:val="center"/>
              <w:rPr>
                <w:sz w:val="20"/>
                <w:szCs w:val="20"/>
              </w:rPr>
            </w:pPr>
          </w:p>
        </w:tc>
      </w:tr>
      <w:tr w:rsidR="00B15D9D">
        <w:trPr>
          <w:trHeight w:val="700"/>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An internship relevant to art history.</w:t>
            </w:r>
          </w:p>
        </w:tc>
        <w:tc>
          <w:tcPr>
            <w:tcW w:w="1368" w:type="dxa"/>
          </w:tcPr>
          <w:p w:rsidR="00B15D9D" w:rsidRDefault="00B15D9D">
            <w:pPr>
              <w:pBdr>
                <w:top w:val="nil"/>
                <w:left w:val="nil"/>
                <w:bottom w:val="nil"/>
                <w:right w:val="nil"/>
                <w:between w:val="nil"/>
              </w:pBdr>
              <w:spacing w:before="2"/>
              <w:rPr>
                <w:sz w:val="20"/>
                <w:szCs w:val="20"/>
              </w:rPr>
            </w:pPr>
          </w:p>
          <w:p w:rsidR="00B15D9D" w:rsidRDefault="008E522E">
            <w:pPr>
              <w:pBdr>
                <w:top w:val="nil"/>
                <w:left w:val="nil"/>
                <w:bottom w:val="nil"/>
                <w:right w:val="nil"/>
                <w:between w:val="nil"/>
              </w:pBdr>
              <w:spacing w:before="2"/>
              <w:jc w:val="center"/>
              <w:rPr>
                <w:sz w:val="20"/>
                <w:szCs w:val="20"/>
              </w:rPr>
            </w:pPr>
            <w:r>
              <w:rPr>
                <w:sz w:val="20"/>
                <w:szCs w:val="20"/>
              </w:rPr>
              <w:t>9-10</w:t>
            </w:r>
          </w:p>
        </w:tc>
      </w:tr>
      <w:tr w:rsidR="00B15D9D">
        <w:trPr>
          <w:trHeight w:val="700"/>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A theory and method course that introduces students to a variety of critical frameworks central to art history.</w:t>
            </w:r>
          </w:p>
        </w:tc>
        <w:tc>
          <w:tcPr>
            <w:tcW w:w="1368" w:type="dxa"/>
          </w:tcPr>
          <w:p w:rsidR="00B15D9D" w:rsidRDefault="00B15D9D">
            <w:pPr>
              <w:pBdr>
                <w:top w:val="nil"/>
                <w:left w:val="nil"/>
                <w:bottom w:val="nil"/>
                <w:right w:val="nil"/>
                <w:between w:val="nil"/>
              </w:pBdr>
              <w:spacing w:before="2"/>
              <w:rPr>
                <w:sz w:val="20"/>
                <w:szCs w:val="20"/>
              </w:rPr>
            </w:pPr>
          </w:p>
          <w:p w:rsidR="00B15D9D" w:rsidRDefault="008E522E">
            <w:pPr>
              <w:pBdr>
                <w:top w:val="nil"/>
                <w:left w:val="nil"/>
                <w:bottom w:val="nil"/>
                <w:right w:val="nil"/>
                <w:between w:val="nil"/>
              </w:pBdr>
              <w:spacing w:before="2"/>
              <w:jc w:val="center"/>
              <w:rPr>
                <w:sz w:val="20"/>
                <w:szCs w:val="20"/>
              </w:rPr>
            </w:pPr>
            <w:r>
              <w:rPr>
                <w:sz w:val="20"/>
                <w:szCs w:val="20"/>
              </w:rPr>
              <w:t>1-8, 10</w:t>
            </w:r>
          </w:p>
        </w:tc>
      </w:tr>
      <w:tr w:rsidR="00B15D9D">
        <w:trPr>
          <w:trHeight w:val="939"/>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S</w:t>
            </w:r>
            <w:r>
              <w:rPr>
                <w:sz w:val="20"/>
                <w:szCs w:val="20"/>
              </w:rPr>
              <w:t>tudy of at least one foreign language</w:t>
            </w:r>
            <w:r>
              <w:rPr>
                <w:rFonts w:ascii="Quattrocento Sans" w:eastAsia="Quattrocento Sans" w:hAnsi="Quattrocento Sans" w:cs="Quattrocento Sans"/>
                <w:sz w:val="21"/>
                <w:szCs w:val="21"/>
              </w:rPr>
              <w:t xml:space="preserve"> </w:t>
            </w:r>
            <w:r>
              <w:rPr>
                <w:sz w:val="20"/>
                <w:szCs w:val="20"/>
              </w:rPr>
              <w:t>pertinent to the student's area of focus</w:t>
            </w:r>
            <w:r>
              <w:rPr>
                <w:sz w:val="20"/>
                <w:szCs w:val="20"/>
              </w:rPr>
              <w:t xml:space="preserve"> (</w:t>
            </w:r>
            <w:r>
              <w:rPr>
                <w:sz w:val="20"/>
                <w:szCs w:val="20"/>
              </w:rPr>
              <w:t xml:space="preserve">unless it is considered in the student's best interest to pursue alternative activities </w:t>
            </w:r>
            <w:r>
              <w:rPr>
                <w:sz w:val="20"/>
                <w:szCs w:val="20"/>
              </w:rPr>
              <w:t>rather than</w:t>
            </w:r>
            <w:r>
              <w:rPr>
                <w:sz w:val="20"/>
                <w:szCs w:val="20"/>
              </w:rPr>
              <w:t xml:space="preserve"> foreign language study).</w:t>
            </w:r>
          </w:p>
        </w:tc>
        <w:tc>
          <w:tcPr>
            <w:tcW w:w="1368" w:type="dxa"/>
          </w:tcPr>
          <w:p w:rsidR="00B15D9D" w:rsidRDefault="00B15D9D">
            <w:pPr>
              <w:rPr>
                <w:rFonts w:ascii="Times New Roman" w:eastAsia="Times New Roman" w:hAnsi="Times New Roman" w:cs="Times New Roman"/>
                <w:sz w:val="20"/>
                <w:szCs w:val="20"/>
              </w:rPr>
            </w:pPr>
          </w:p>
          <w:p w:rsidR="00B15D9D" w:rsidRDefault="008E522E">
            <w:pPr>
              <w:spacing w:before="2"/>
              <w:jc w:val="center"/>
              <w:rPr>
                <w:sz w:val="20"/>
                <w:szCs w:val="20"/>
              </w:rPr>
            </w:pPr>
            <w:r>
              <w:rPr>
                <w:sz w:val="20"/>
                <w:szCs w:val="20"/>
              </w:rPr>
              <w:t>2, 10</w:t>
            </w:r>
          </w:p>
          <w:p w:rsidR="00B15D9D" w:rsidRDefault="00B15D9D">
            <w:pPr>
              <w:ind w:left="9"/>
              <w:jc w:val="center"/>
              <w:rPr>
                <w:sz w:val="20"/>
                <w:szCs w:val="20"/>
              </w:rPr>
            </w:pPr>
          </w:p>
        </w:tc>
      </w:tr>
      <w:tr w:rsidR="00B15D9D">
        <w:trPr>
          <w:trHeight w:val="630"/>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Travel abroad and off-campus study are highly recommended.</w:t>
            </w:r>
          </w:p>
        </w:tc>
        <w:tc>
          <w:tcPr>
            <w:tcW w:w="1368" w:type="dxa"/>
          </w:tcPr>
          <w:p w:rsidR="00B15D9D" w:rsidRDefault="00B15D9D">
            <w:pPr>
              <w:pBdr>
                <w:top w:val="nil"/>
                <w:left w:val="nil"/>
                <w:bottom w:val="nil"/>
                <w:right w:val="nil"/>
                <w:between w:val="nil"/>
              </w:pBdr>
              <w:jc w:val="center"/>
              <w:rPr>
                <w:rFonts w:ascii="Times New Roman" w:eastAsia="Times New Roman" w:hAnsi="Times New Roman" w:cs="Times New Roman"/>
                <w:sz w:val="20"/>
                <w:szCs w:val="20"/>
              </w:rPr>
            </w:pPr>
          </w:p>
          <w:p w:rsidR="00B15D9D" w:rsidRDefault="008E522E">
            <w:pPr>
              <w:spacing w:before="2"/>
              <w:jc w:val="center"/>
              <w:rPr>
                <w:rFonts w:ascii="Times New Roman" w:eastAsia="Times New Roman" w:hAnsi="Times New Roman" w:cs="Times New Roman"/>
                <w:sz w:val="20"/>
                <w:szCs w:val="20"/>
              </w:rPr>
            </w:pPr>
            <w:r>
              <w:rPr>
                <w:sz w:val="20"/>
                <w:szCs w:val="20"/>
              </w:rPr>
              <w:t>10</w:t>
            </w:r>
          </w:p>
        </w:tc>
      </w:tr>
      <w:tr w:rsidR="00B15D9D">
        <w:trPr>
          <w:trHeight w:val="540"/>
        </w:trPr>
        <w:tc>
          <w:tcPr>
            <w:tcW w:w="7488" w:type="dxa"/>
          </w:tcPr>
          <w:p w:rsidR="00B15D9D" w:rsidRDefault="008E522E">
            <w:pPr>
              <w:pBdr>
                <w:top w:val="nil"/>
                <w:left w:val="nil"/>
                <w:bottom w:val="nil"/>
                <w:right w:val="nil"/>
                <w:between w:val="nil"/>
              </w:pBdr>
              <w:spacing w:before="117"/>
              <w:ind w:left="107"/>
              <w:rPr>
                <w:sz w:val="20"/>
                <w:szCs w:val="20"/>
              </w:rPr>
            </w:pPr>
            <w:r>
              <w:rPr>
                <w:sz w:val="20"/>
                <w:szCs w:val="20"/>
              </w:rPr>
              <w:t>A senior thesis or project in the field.</w:t>
            </w:r>
          </w:p>
        </w:tc>
        <w:tc>
          <w:tcPr>
            <w:tcW w:w="1368" w:type="dxa"/>
          </w:tcPr>
          <w:p w:rsidR="00B15D9D" w:rsidRDefault="008E522E">
            <w:pPr>
              <w:pBdr>
                <w:top w:val="nil"/>
                <w:left w:val="nil"/>
                <w:bottom w:val="nil"/>
                <w:right w:val="nil"/>
                <w:between w:val="nil"/>
              </w:pBdr>
              <w:spacing w:before="117"/>
              <w:ind w:left="3"/>
              <w:jc w:val="center"/>
              <w:rPr>
                <w:sz w:val="20"/>
                <w:szCs w:val="20"/>
              </w:rPr>
            </w:pPr>
            <w:r>
              <w:rPr>
                <w:sz w:val="20"/>
                <w:szCs w:val="20"/>
              </w:rPr>
              <w:t>1-4, 6-8</w:t>
            </w:r>
          </w:p>
        </w:tc>
      </w:tr>
    </w:tbl>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8E522E">
      <w:pPr>
        <w:pBdr>
          <w:top w:val="nil"/>
          <w:left w:val="nil"/>
          <w:bottom w:val="nil"/>
          <w:right w:val="nil"/>
          <w:between w:val="nil"/>
        </w:pBdr>
        <w:rPr>
          <w:sz w:val="20"/>
          <w:szCs w:val="20"/>
        </w:rPr>
      </w:pPr>
      <w:r>
        <w:rPr>
          <w:sz w:val="20"/>
          <w:szCs w:val="20"/>
        </w:rPr>
        <w:t>Updated June 2022</w:t>
      </w: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rPr>
          <w:sz w:val="20"/>
          <w:szCs w:val="20"/>
        </w:rPr>
      </w:pPr>
    </w:p>
    <w:p w:rsidR="00B15D9D" w:rsidRDefault="00B15D9D">
      <w:pPr>
        <w:pBdr>
          <w:top w:val="nil"/>
          <w:left w:val="nil"/>
          <w:bottom w:val="nil"/>
          <w:right w:val="nil"/>
          <w:between w:val="nil"/>
        </w:pBdr>
        <w:spacing w:before="94"/>
        <w:ind w:right="1"/>
        <w:rPr>
          <w:sz w:val="20"/>
          <w:szCs w:val="20"/>
        </w:rPr>
      </w:pPr>
    </w:p>
    <w:sectPr w:rsidR="00B15D9D">
      <w:pgSz w:w="12240" w:h="15840"/>
      <w:pgMar w:top="15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9D"/>
    <w:rsid w:val="008E522E"/>
    <w:rsid w:val="00B1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92750-1445-47DA-93BD-60CB24D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9"/>
      <w:jc w:val="both"/>
      <w:outlineLvl w:val="0"/>
    </w:pPr>
    <w:rPr>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78"/>
      <w:ind w:left="3246" w:right="3165" w:firstLine="1034"/>
    </w:pPr>
    <w:rPr>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09C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Du1dTGPpSacWwEV3JZaoGsvRw==">AMUW2mU2YxLBpGbjxlhMI9vVELzrhwFmtO8LK8bzh/h7Eop/TUvPtMFZe/Yk3k0phJwh5hSwd2S+tmgieizm+XjCGK1AYAjseaaKl6U3ERJvCXNI2nvP2IZ6v1ws0MvPSaKUI/Jh8R42s5x78tKNIsnxWkcFMHkPag==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pward</dc:creator>
  <cp:lastModifiedBy>Nicole Van Der Berg</cp:lastModifiedBy>
  <cp:revision>2</cp:revision>
  <dcterms:created xsi:type="dcterms:W3CDTF">2022-07-22T14:34:00Z</dcterms:created>
  <dcterms:modified xsi:type="dcterms:W3CDTF">2022-07-22T14:34:00Z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2006-09-22T00:00:00Z</vt:filetime>
  </property>
  <property fmtid="{D5CDD505-2E9C-101B-9397-08002B2CF9AE}" pid="3" name="Creator">
    <vt:lpwstr>PScript5.dll Version 5.2</vt:lpwstr>
  </property>
  <property fmtid="{D5CDD505-2E9C-101B-9397-08002B2CF9AE}" pid="4" name="LastSaved">
    <vt:filetime>2022-06-12T00:00:00Z</vt:filetime>
  </property>
</Properties>
</file>